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E2963" w14:textId="5C348552" w:rsidR="009E7EF6" w:rsidRPr="00C450D1" w:rsidRDefault="009E7EF6" w:rsidP="007F4CD0">
      <w:pPr>
        <w:pStyle w:val="Heading1"/>
        <w:spacing w:before="0"/>
        <w:rPr>
          <w:rFonts w:asciiTheme="minorHAnsi" w:eastAsiaTheme="minorEastAsia" w:hAnsiTheme="minorHAnsi" w:cstheme="minorBidi"/>
          <w:iCs w:val="0"/>
          <w:caps w:val="0"/>
          <w:color w:val="414042" w:themeColor="text1"/>
          <w:sz w:val="22"/>
          <w:szCs w:val="22"/>
          <w:lang w:val="en-AU" w:bidi="ar-SA"/>
        </w:rPr>
      </w:pPr>
      <w:bookmarkStart w:id="0" w:name="InvestmentsCurrentMarketView"/>
      <w:r w:rsidRPr="00C450D1">
        <w:rPr>
          <w:rFonts w:asciiTheme="minorHAnsi" w:eastAsiaTheme="minorEastAsia" w:hAnsiTheme="minorHAnsi" w:cstheme="minorBidi"/>
          <w:iCs w:val="0"/>
          <w:caps w:val="0"/>
          <w:color w:val="414042" w:themeColor="text1"/>
          <w:sz w:val="22"/>
          <w:szCs w:val="22"/>
          <w:lang w:val="en-AU" w:bidi="ar-SA"/>
        </w:rPr>
        <w:t>Current Market View</w:t>
      </w:r>
    </w:p>
    <w:p w14:paraId="69DA8B77" w14:textId="5A246422" w:rsidR="001C4983" w:rsidRPr="001C4983" w:rsidRDefault="001C4983" w:rsidP="00912096">
      <w:pPr>
        <w:rPr>
          <w:b/>
          <w:bCs/>
        </w:rPr>
      </w:pPr>
      <w:r w:rsidRPr="001C4983">
        <w:rPr>
          <w:b/>
          <w:bCs/>
        </w:rPr>
        <w:t>Investment Markets</w:t>
      </w:r>
    </w:p>
    <w:p w14:paraId="5F8DE8C2" w14:textId="56C5774E" w:rsidR="000A26DE" w:rsidRDefault="00B0357D" w:rsidP="004E0CA0">
      <w:r>
        <w:t>T</w:t>
      </w:r>
      <w:r w:rsidR="00DE107E" w:rsidRPr="00DE107E">
        <w:t xml:space="preserve">he global share markets </w:t>
      </w:r>
      <w:r w:rsidR="00C117E1">
        <w:t xml:space="preserve">recovered from the recent falls </w:t>
      </w:r>
      <w:r w:rsidR="00D528C0">
        <w:t>(</w:t>
      </w:r>
      <w:r w:rsidR="00DE107E" w:rsidRPr="00DE107E">
        <w:t>in local currency terms</w:t>
      </w:r>
      <w:r w:rsidR="00D528C0">
        <w:t>)</w:t>
      </w:r>
      <w:r w:rsidR="00DE107E" w:rsidRPr="00DE107E">
        <w:t xml:space="preserve"> </w:t>
      </w:r>
      <w:r w:rsidR="007959FF">
        <w:t xml:space="preserve">over </w:t>
      </w:r>
      <w:r w:rsidR="00C117E1">
        <w:t>May</w:t>
      </w:r>
      <w:r w:rsidR="007959FF">
        <w:t xml:space="preserve"> 202</w:t>
      </w:r>
      <w:r w:rsidR="00AB51EB">
        <w:t>4</w:t>
      </w:r>
      <w:r w:rsidR="007959FF">
        <w:t xml:space="preserve"> </w:t>
      </w:r>
      <w:r w:rsidR="00C117E1">
        <w:t xml:space="preserve">supported </w:t>
      </w:r>
      <w:r w:rsidR="00AB51EB" w:rsidRPr="00AB51EB">
        <w:t>by</w:t>
      </w:r>
      <w:r w:rsidR="000A26DE">
        <w:t xml:space="preserve"> </w:t>
      </w:r>
      <w:r w:rsidR="003627B9">
        <w:t xml:space="preserve">improving company earnings in the US and </w:t>
      </w:r>
      <w:r w:rsidR="000A26DE">
        <w:t xml:space="preserve">several </w:t>
      </w:r>
      <w:r w:rsidR="000A26DE" w:rsidRPr="000A26DE">
        <w:rPr>
          <w:b/>
          <w:bCs/>
        </w:rPr>
        <w:t>Central Banks easing their target cash rates</w:t>
      </w:r>
      <w:r w:rsidR="000A26DE">
        <w:t xml:space="preserve"> in response to better inflation numbers and a slowing economy. </w:t>
      </w:r>
    </w:p>
    <w:p w14:paraId="4F1468D0" w14:textId="187214DD" w:rsidR="000A26DE" w:rsidRPr="00FF15E7" w:rsidRDefault="000A26DE" w:rsidP="004E0CA0">
      <w:pPr>
        <w:rPr>
          <w:b/>
          <w:bCs/>
        </w:rPr>
      </w:pPr>
      <w:r w:rsidRPr="00FF15E7">
        <w:rPr>
          <w:b/>
          <w:bCs/>
        </w:rPr>
        <w:t>Bank of Canada reduced their cash rate to 4.75% from 5.0%, the European Central Bank 4.25% from 4.5%</w:t>
      </w:r>
      <w:r w:rsidR="00FF15E7">
        <w:rPr>
          <w:b/>
          <w:bCs/>
        </w:rPr>
        <w:t>, Denmark 3.35% from 3.6%</w:t>
      </w:r>
      <w:r w:rsidRPr="00FF15E7">
        <w:rPr>
          <w:b/>
          <w:bCs/>
        </w:rPr>
        <w:t xml:space="preserve"> and Brazil 10.5% from 10.75%.</w:t>
      </w:r>
    </w:p>
    <w:p w14:paraId="22271D9A" w14:textId="274A935A" w:rsidR="00FF15E7" w:rsidRDefault="0025660A" w:rsidP="004E0CA0">
      <w:r>
        <w:t>Australian i</w:t>
      </w:r>
      <w:r w:rsidR="001451A8">
        <w:t xml:space="preserve">nvestors </w:t>
      </w:r>
      <w:r w:rsidR="00C117E1">
        <w:t xml:space="preserve">picked up out of favour stocks </w:t>
      </w:r>
      <w:r w:rsidR="006C3C9E">
        <w:t xml:space="preserve">as </w:t>
      </w:r>
      <w:r w:rsidR="00907370" w:rsidRPr="00907370">
        <w:rPr>
          <w:b/>
          <w:bCs/>
        </w:rPr>
        <w:t>tax loss selling</w:t>
      </w:r>
      <w:r w:rsidR="00907370">
        <w:t xml:space="preserve"> clouded trading patterns which is normal for this time of the year when prices get out of s</w:t>
      </w:r>
      <w:r w:rsidR="006820B4">
        <w:t>tep</w:t>
      </w:r>
      <w:r w:rsidR="00907370">
        <w:t xml:space="preserve"> with fundamentals. Look for a </w:t>
      </w:r>
      <w:r w:rsidR="00907370" w:rsidRPr="00907370">
        <w:rPr>
          <w:b/>
          <w:bCs/>
        </w:rPr>
        <w:t>bounce back in July</w:t>
      </w:r>
      <w:r w:rsidR="00907370">
        <w:t xml:space="preserve"> as dividends and trust distributions </w:t>
      </w:r>
      <w:r w:rsidR="006820B4">
        <w:t>are</w:t>
      </w:r>
      <w:r w:rsidR="00907370">
        <w:t xml:space="preserve"> paid to investors post the financial year-end.</w:t>
      </w:r>
      <w:r w:rsidR="00FF15E7">
        <w:t xml:space="preserve"> </w:t>
      </w:r>
    </w:p>
    <w:p w14:paraId="2385CB7B" w14:textId="1B62F292" w:rsidR="006C3C9E" w:rsidRDefault="00FF15E7" w:rsidP="004E0CA0">
      <w:r>
        <w:t>A</w:t>
      </w:r>
      <w:r w:rsidR="00907370">
        <w:t xml:space="preserve"> flurry of State Government budgets </w:t>
      </w:r>
      <w:r w:rsidR="00697DD5">
        <w:t>(Victoria and Queensland) has</w:t>
      </w:r>
      <w:r w:rsidR="00907370">
        <w:t xml:space="preserve"> seen a cash splash as elections become the focus later this year. The generosity of some of the plans are likely to hinder </w:t>
      </w:r>
      <w:r w:rsidR="00697DD5">
        <w:t xml:space="preserve">(to a degree) </w:t>
      </w:r>
      <w:r w:rsidR="00907370">
        <w:t xml:space="preserve">the </w:t>
      </w:r>
      <w:r w:rsidR="00697DD5">
        <w:t>hard work done by the Reserve Bank on containing inflation via high interest rates. If the cash is spent then</w:t>
      </w:r>
      <w:r w:rsidR="006820B4">
        <w:t>,</w:t>
      </w:r>
      <w:r w:rsidR="00697DD5">
        <w:t xml:space="preserve"> this may impact prices and inflation forcing the RBA to extend any thought of easing any time soon</w:t>
      </w:r>
      <w:r w:rsidR="006820B4">
        <w:t xml:space="preserve">. </w:t>
      </w:r>
    </w:p>
    <w:p w14:paraId="2503B8B1" w14:textId="77777777" w:rsidR="00FF15E7" w:rsidRDefault="0025660A" w:rsidP="004E0CA0">
      <w:r>
        <w:t>US i</w:t>
      </w:r>
      <w:r w:rsidR="007E4696">
        <w:t xml:space="preserve">nvestors remain </w:t>
      </w:r>
      <w:r w:rsidR="00AB51EB">
        <w:t>confiden</w:t>
      </w:r>
      <w:r w:rsidR="007E4696">
        <w:t>t</w:t>
      </w:r>
      <w:r w:rsidR="00AB51EB">
        <w:t xml:space="preserve"> </w:t>
      </w:r>
      <w:r w:rsidR="000B4202">
        <w:t xml:space="preserve">that </w:t>
      </w:r>
      <w:r w:rsidR="000B4202" w:rsidRPr="005D4428">
        <w:t>the</w:t>
      </w:r>
      <w:r w:rsidR="000B4202" w:rsidRPr="000B4202">
        <w:rPr>
          <w:b/>
          <w:bCs/>
        </w:rPr>
        <w:t xml:space="preserve"> Federal Reserve Bank hiking cycle is over</w:t>
      </w:r>
      <w:r w:rsidR="00AB51EB">
        <w:rPr>
          <w:b/>
          <w:bCs/>
        </w:rPr>
        <w:t xml:space="preserve"> </w:t>
      </w:r>
      <w:r w:rsidR="007E4696" w:rsidRPr="007E4696">
        <w:t>however,</w:t>
      </w:r>
      <w:r w:rsidR="007E4696">
        <w:rPr>
          <w:b/>
          <w:bCs/>
        </w:rPr>
        <w:t xml:space="preserve"> </w:t>
      </w:r>
      <w:r w:rsidR="00AB51EB">
        <w:t xml:space="preserve">interest rate </w:t>
      </w:r>
      <w:r w:rsidR="00AB51EB" w:rsidRPr="007E4696">
        <w:rPr>
          <w:b/>
          <w:bCs/>
        </w:rPr>
        <w:t xml:space="preserve">cuts </w:t>
      </w:r>
      <w:r w:rsidR="007E4696" w:rsidRPr="007E4696">
        <w:rPr>
          <w:b/>
          <w:bCs/>
        </w:rPr>
        <w:t>have been pushed further down the line</w:t>
      </w:r>
      <w:r w:rsidR="007E4696">
        <w:t xml:space="preserve"> as inflation remains elevated. </w:t>
      </w:r>
    </w:p>
    <w:p w14:paraId="3438AC23" w14:textId="77777777" w:rsidR="00FF15E7" w:rsidRDefault="00FF15E7" w:rsidP="00FF15E7">
      <w:pPr>
        <w:rPr>
          <w:b/>
          <w:bCs/>
        </w:rPr>
      </w:pPr>
      <w:r>
        <w:rPr>
          <w:b/>
          <w:bCs/>
        </w:rPr>
        <w:t>The US Federal Reserve Bank maintained the target range for the federal funds rate at 5.25%-5.0% at the FOMC meeting held on the 12</w:t>
      </w:r>
      <w:r w:rsidRPr="0025660A">
        <w:rPr>
          <w:b/>
          <w:bCs/>
          <w:vertAlign w:val="superscript"/>
        </w:rPr>
        <w:t>th</w:t>
      </w:r>
      <w:r>
        <w:rPr>
          <w:b/>
          <w:bCs/>
        </w:rPr>
        <w:t xml:space="preserve"> </w:t>
      </w:r>
      <w:r w:rsidRPr="00375195">
        <w:rPr>
          <w:b/>
          <w:bCs/>
          <w:vertAlign w:val="superscript"/>
        </w:rPr>
        <w:t>of</w:t>
      </w:r>
      <w:r>
        <w:rPr>
          <w:b/>
          <w:bCs/>
        </w:rPr>
        <w:t xml:space="preserve"> June 2024. </w:t>
      </w:r>
    </w:p>
    <w:p w14:paraId="1AD12363" w14:textId="1F37A16E" w:rsidR="00FF15E7" w:rsidRPr="00FF15E7" w:rsidRDefault="00FF15E7" w:rsidP="00FF15E7">
      <w:pPr>
        <w:ind w:left="720"/>
        <w:rPr>
          <w:i/>
          <w:iCs/>
        </w:rPr>
      </w:pPr>
      <w:r w:rsidRPr="00FF15E7">
        <w:rPr>
          <w:b/>
          <w:bCs/>
          <w:i/>
          <w:iCs/>
        </w:rPr>
        <w:t>“</w:t>
      </w:r>
      <w:r w:rsidRPr="00FF15E7">
        <w:rPr>
          <w:i/>
          <w:iCs/>
        </w:rPr>
        <w:t>The Committee will carefully assess incoming data, the evolving outlook, and the balance of risks. The Committee does not expect it will be appropriate to reduce the target range until it has gained greater confidence that inflation is moving sustainably toward 2 percent”.</w:t>
      </w:r>
      <w:r w:rsidRPr="00FF15E7">
        <w:rPr>
          <w:b/>
          <w:bCs/>
          <w:i/>
          <w:iCs/>
        </w:rPr>
        <w:t xml:space="preserve"> </w:t>
      </w:r>
      <w:r w:rsidRPr="00FF15E7">
        <w:rPr>
          <w:i/>
          <w:iCs/>
        </w:rPr>
        <w:t>Source: FOMC policy statement, The Federal Reserve Bank.</w:t>
      </w:r>
    </w:p>
    <w:p w14:paraId="6D6130F4" w14:textId="77777777" w:rsidR="0021071B" w:rsidRDefault="0021071B" w:rsidP="0021071B">
      <w:r>
        <w:t>In addition, the US FOMC will continue to reduce its holdings of Treasury securities and agency debt and agency mortgage-backed securities, as described in its previously announced plans. This drains liquidity from the system.</w:t>
      </w:r>
    </w:p>
    <w:p w14:paraId="64475292" w14:textId="751ED90C" w:rsidR="00FF15E7" w:rsidRDefault="00FF15E7" w:rsidP="00FF15E7">
      <w:r>
        <w:t xml:space="preserve">The latest US inflation data unexpectedly slowed </w:t>
      </w:r>
      <w:bookmarkStart w:id="1" w:name="_Hlk169250034"/>
      <w:r>
        <w:t xml:space="preserve">to </w:t>
      </w:r>
      <w:r w:rsidRPr="00922DE0">
        <w:rPr>
          <w:b/>
          <w:bCs/>
        </w:rPr>
        <w:t>3.3% in May 2024</w:t>
      </w:r>
      <w:r>
        <w:t xml:space="preserve"> from 3.4% in April 2024. </w:t>
      </w:r>
      <w:bookmarkEnd w:id="1"/>
      <w:r>
        <w:t>Investors remain focussed on the second half of 2024 and the potential for monetary policy easing once the real impact of all the interest rate hikes is felt by consumers in Q3 and Q4 of 2024.</w:t>
      </w:r>
    </w:p>
    <w:p w14:paraId="222F0646" w14:textId="65565EED" w:rsidR="00FF15E7" w:rsidRDefault="00FF15E7" w:rsidP="00FF15E7">
      <w:r>
        <w:t xml:space="preserve">Now it appears that </w:t>
      </w:r>
      <w:r w:rsidR="003627B9">
        <w:t xml:space="preserve">other </w:t>
      </w:r>
      <w:r w:rsidRPr="00780ED6">
        <w:rPr>
          <w:b/>
          <w:bCs/>
        </w:rPr>
        <w:t>Central Banks will extend any easing plans</w:t>
      </w:r>
      <w:r>
        <w:t xml:space="preserve"> until a clearer picture emerges on the inflation front. </w:t>
      </w:r>
    </w:p>
    <w:p w14:paraId="3EA02EC5" w14:textId="77777777" w:rsidR="00FF15E7" w:rsidRDefault="00FF15E7" w:rsidP="00FF15E7"/>
    <w:p w14:paraId="6FF8649E" w14:textId="4C952D2C" w:rsidR="000B4202" w:rsidRDefault="0021071B" w:rsidP="004E0CA0">
      <w:r>
        <w:lastRenderedPageBreak/>
        <w:t>Investors believe i</w:t>
      </w:r>
      <w:r w:rsidR="007145A7">
        <w:t>t</w:t>
      </w:r>
      <w:r w:rsidR="00D712E9">
        <w:t xml:space="preserve"> will be earnings that drive prices not momentum. From a risk return perspective, markets are improving:</w:t>
      </w:r>
    </w:p>
    <w:p w14:paraId="43E51706" w14:textId="6B527580" w:rsidR="00375195" w:rsidRDefault="00C117E1" w:rsidP="00A87065">
      <w:pPr>
        <w:jc w:val="center"/>
      </w:pPr>
      <w:r w:rsidRPr="00C117E1">
        <w:rPr>
          <w:noProof/>
        </w:rPr>
        <w:drawing>
          <wp:inline distT="0" distB="0" distL="0" distR="0" wp14:anchorId="55349A40" wp14:editId="02E3CF80">
            <wp:extent cx="5315223" cy="3705225"/>
            <wp:effectExtent l="0" t="0" r="0" b="0"/>
            <wp:docPr id="1735295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8104" cy="3728146"/>
                    </a:xfrm>
                    <a:prstGeom prst="rect">
                      <a:avLst/>
                    </a:prstGeom>
                    <a:noFill/>
                    <a:ln>
                      <a:noFill/>
                    </a:ln>
                  </pic:spPr>
                </pic:pic>
              </a:graphicData>
            </a:graphic>
          </wp:inline>
        </w:drawing>
      </w:r>
    </w:p>
    <w:p w14:paraId="708850CE" w14:textId="5FB0CE8D" w:rsidR="00D712E9" w:rsidRDefault="00D712E9" w:rsidP="00D712E9">
      <w:r w:rsidRPr="00D712E9">
        <w:rPr>
          <w:sz w:val="18"/>
        </w:rPr>
        <w:t xml:space="preserve"> </w:t>
      </w:r>
      <w:r w:rsidRPr="00A70A09">
        <w:rPr>
          <w:sz w:val="18"/>
        </w:rPr>
        <w:t xml:space="preserve">Source data: Lonsec as of </w:t>
      </w:r>
      <w:r w:rsidR="00D528C0">
        <w:rPr>
          <w:sz w:val="18"/>
        </w:rPr>
        <w:t>3</w:t>
      </w:r>
      <w:r w:rsidR="00C117E1">
        <w:rPr>
          <w:sz w:val="18"/>
        </w:rPr>
        <w:t>1</w:t>
      </w:r>
      <w:r w:rsidR="00C117E1" w:rsidRPr="00C117E1">
        <w:rPr>
          <w:sz w:val="18"/>
          <w:vertAlign w:val="superscript"/>
        </w:rPr>
        <w:t>st</w:t>
      </w:r>
      <w:r w:rsidR="00C117E1">
        <w:rPr>
          <w:sz w:val="18"/>
        </w:rPr>
        <w:t xml:space="preserve"> May</w:t>
      </w:r>
      <w:r w:rsidR="00D528C0">
        <w:rPr>
          <w:sz w:val="18"/>
        </w:rPr>
        <w:t xml:space="preserve"> </w:t>
      </w:r>
      <w:r>
        <w:rPr>
          <w:sz w:val="18"/>
        </w:rPr>
        <w:t>2024</w:t>
      </w:r>
    </w:p>
    <w:p w14:paraId="484D77E5" w14:textId="0FF07B46" w:rsidR="00115DDA" w:rsidRDefault="00115DDA" w:rsidP="00115DDA">
      <w:r>
        <w:t>From the chart above, you can gain an understanding of why investors over the past year h</w:t>
      </w:r>
      <w:r w:rsidR="00347702">
        <w:t>ave tilted</w:t>
      </w:r>
      <w:r>
        <w:t xml:space="preserve"> </w:t>
      </w:r>
      <w:r w:rsidR="00290B47">
        <w:t xml:space="preserve">their exposures </w:t>
      </w:r>
      <w:r>
        <w:t xml:space="preserve">towards shares over bonds given the higher risk </w:t>
      </w:r>
      <w:r w:rsidR="00290B47">
        <w:t xml:space="preserve">score </w:t>
      </w:r>
      <w:r>
        <w:t>resulting in higher returns in most cases.</w:t>
      </w:r>
    </w:p>
    <w:p w14:paraId="3F114484" w14:textId="04EEF9C0" w:rsidR="003C4073" w:rsidRPr="005C178D" w:rsidRDefault="003C4073" w:rsidP="003C4073">
      <w:pPr>
        <w:spacing w:before="0" w:after="160" w:line="259" w:lineRule="auto"/>
        <w:ind w:left="360"/>
        <w:rPr>
          <w:rFonts w:cs="Calibri"/>
          <w:i/>
          <w:iCs/>
          <w:color w:val="222222"/>
          <w:shd w:val="clear" w:color="auto" w:fill="FFFFFF"/>
        </w:rPr>
      </w:pPr>
      <w:r w:rsidRPr="005C178D">
        <w:rPr>
          <w:rFonts w:cs="Calibri"/>
          <w:i/>
          <w:iCs/>
          <w:color w:val="222222"/>
          <w:shd w:val="clear" w:color="auto" w:fill="FFFFFF"/>
        </w:rPr>
        <w:t xml:space="preserve">The risk measure is simply the one-year annualised standard deviation of the monthly total return time series for each category. The total return is the share or bond price movement monthly including any </w:t>
      </w:r>
      <w:r w:rsidR="001D4157" w:rsidRPr="005C178D">
        <w:rPr>
          <w:rFonts w:cs="Calibri"/>
          <w:i/>
          <w:iCs/>
          <w:color w:val="222222"/>
          <w:shd w:val="clear" w:color="auto" w:fill="FFFFFF"/>
        </w:rPr>
        <w:t xml:space="preserve">cash </w:t>
      </w:r>
      <w:r w:rsidRPr="005C178D">
        <w:rPr>
          <w:rFonts w:cs="Calibri"/>
          <w:i/>
          <w:iCs/>
          <w:color w:val="222222"/>
          <w:shd w:val="clear" w:color="auto" w:fill="FFFFFF"/>
        </w:rPr>
        <w:t>dividends and coupons payable.</w:t>
      </w:r>
    </w:p>
    <w:p w14:paraId="096814E6" w14:textId="0C30402F" w:rsidR="003757D8" w:rsidRPr="005C178D" w:rsidRDefault="003627B9" w:rsidP="003757D8">
      <w:pPr>
        <w:spacing w:before="120"/>
      </w:pPr>
      <w:r>
        <w:t>In Australia, t</w:t>
      </w:r>
      <w:r w:rsidR="005D39F6">
        <w:t>he</w:t>
      </w:r>
      <w:r w:rsidR="005D39F6" w:rsidRPr="005D39F6">
        <w:t xml:space="preserve"> S&amp;PASX200 volatility (VIX) </w:t>
      </w:r>
      <w:r w:rsidR="00922DE0">
        <w:t xml:space="preserve">tracked sideways over May 2024 </w:t>
      </w:r>
      <w:r w:rsidR="005D39F6" w:rsidRPr="005D39F6">
        <w:t xml:space="preserve">closing at </w:t>
      </w:r>
      <w:r w:rsidR="00811AB7">
        <w:t>11.</w:t>
      </w:r>
      <w:r w:rsidR="00922DE0">
        <w:t>54</w:t>
      </w:r>
      <w:r w:rsidR="005D39F6" w:rsidRPr="005D39F6">
        <w:t xml:space="preserve"> as of </w:t>
      </w:r>
      <w:r w:rsidR="00811AB7">
        <w:t>3</w:t>
      </w:r>
      <w:r w:rsidR="00922DE0">
        <w:t>1</w:t>
      </w:r>
      <w:r w:rsidR="00922DE0" w:rsidRPr="00922DE0">
        <w:rPr>
          <w:vertAlign w:val="superscript"/>
        </w:rPr>
        <w:t>st</w:t>
      </w:r>
      <w:r w:rsidR="00922DE0">
        <w:t xml:space="preserve"> May</w:t>
      </w:r>
      <w:r w:rsidR="005D39F6" w:rsidRPr="005D39F6">
        <w:t xml:space="preserve"> 2024 after finishing </w:t>
      </w:r>
      <w:r w:rsidR="00922DE0">
        <w:t>April</w:t>
      </w:r>
      <w:r w:rsidR="005D39F6" w:rsidRPr="005D39F6">
        <w:t xml:space="preserve"> 2024 at </w:t>
      </w:r>
      <w:r w:rsidR="00922DE0">
        <w:t>11.83</w:t>
      </w:r>
      <w:r w:rsidR="005D39F6" w:rsidRPr="005D39F6">
        <w:t>. It is currently trading at 1</w:t>
      </w:r>
      <w:r w:rsidR="00922DE0">
        <w:t>1</w:t>
      </w:r>
      <w:r w:rsidR="002032E2">
        <w:t>.</w:t>
      </w:r>
      <w:r w:rsidR="00922DE0">
        <w:t>68</w:t>
      </w:r>
      <w:r w:rsidR="005D39F6" w:rsidRPr="005D39F6">
        <w:t xml:space="preserve"> as at close of business 1</w:t>
      </w:r>
      <w:r w:rsidR="00922DE0">
        <w:t>2</w:t>
      </w:r>
      <w:r w:rsidR="005D39F6" w:rsidRPr="005D39F6">
        <w:t xml:space="preserve">th </w:t>
      </w:r>
      <w:r w:rsidR="00922DE0">
        <w:t>June</w:t>
      </w:r>
      <w:r w:rsidR="005D39F6" w:rsidRPr="005D39F6">
        <w:t xml:space="preserve"> 2024 (Source: S&amp;P/ASX200 VIX).</w:t>
      </w:r>
      <w:r w:rsidR="00966124" w:rsidRPr="005C178D">
        <w:t xml:space="preserve"> </w:t>
      </w:r>
      <w:r w:rsidR="001B08D3" w:rsidRPr="005C178D">
        <w:t xml:space="preserve">Looks like the market is </w:t>
      </w:r>
      <w:r w:rsidR="00A97612" w:rsidRPr="005C178D">
        <w:t xml:space="preserve">expecting </w:t>
      </w:r>
      <w:r w:rsidR="00F133F4">
        <w:t xml:space="preserve">much of the same, with </w:t>
      </w:r>
      <w:r w:rsidR="005D39F6">
        <w:t>no surprises</w:t>
      </w:r>
      <w:r w:rsidR="006A4952" w:rsidRPr="005C178D">
        <w:t xml:space="preserve"> in </w:t>
      </w:r>
      <w:r w:rsidR="005D39F6">
        <w:t xml:space="preserve">terms of </w:t>
      </w:r>
      <w:r w:rsidR="006A4952" w:rsidRPr="005C178D">
        <w:t>volatility</w:t>
      </w:r>
      <w:r w:rsidR="005D39F6">
        <w:t>,</w:t>
      </w:r>
      <w:r w:rsidR="00A97612" w:rsidRPr="005C178D">
        <w:t xml:space="preserve"> in the month ahead.</w:t>
      </w:r>
    </w:p>
    <w:p w14:paraId="74599E14" w14:textId="0293709D" w:rsidR="002D5D13" w:rsidRDefault="002D5D13" w:rsidP="002D5D13">
      <w:r>
        <w:t>The e</w:t>
      </w:r>
      <w:r w:rsidR="009E742F">
        <w:t>xpectations for fu</w:t>
      </w:r>
      <w:r>
        <w:t>ture</w:t>
      </w:r>
      <w:r w:rsidR="009E742F">
        <w:t xml:space="preserve"> </w:t>
      </w:r>
      <w:r>
        <w:t xml:space="preserve">easing of </w:t>
      </w:r>
      <w:r w:rsidR="009E742F">
        <w:t>interest rate</w:t>
      </w:r>
      <w:r w:rsidR="00F133F4">
        <w:t>s</w:t>
      </w:r>
      <w:r w:rsidR="00780ED6">
        <w:t xml:space="preserve"> </w:t>
      </w:r>
      <w:r w:rsidR="00F133F4">
        <w:t>have been pushed further down the line with the Australian futures market pricing in only one easing later in the year (</w:t>
      </w:r>
      <w:r w:rsidR="00784097">
        <w:t>November 2024</w:t>
      </w:r>
      <w:r w:rsidR="00F133F4">
        <w:t>)</w:t>
      </w:r>
      <w:r>
        <w:t xml:space="preserve">. </w:t>
      </w:r>
    </w:p>
    <w:p w14:paraId="346F4AA1" w14:textId="77777777" w:rsidR="0021071B" w:rsidRDefault="0021071B" w:rsidP="002D5D13"/>
    <w:p w14:paraId="03042116" w14:textId="77777777" w:rsidR="007F4CD0" w:rsidRDefault="007F4CD0" w:rsidP="002D5D13"/>
    <w:p w14:paraId="6664BFA6" w14:textId="584D4734" w:rsidR="008B2268" w:rsidRDefault="008B2268" w:rsidP="004E0CA0">
      <w:r>
        <w:lastRenderedPageBreak/>
        <w:t xml:space="preserve">The </w:t>
      </w:r>
      <w:r w:rsidR="009756E0">
        <w:t>issues at the forefront of investors thoughts included</w:t>
      </w:r>
      <w:r>
        <w:t>:</w:t>
      </w:r>
    </w:p>
    <w:p w14:paraId="568D4ABF" w14:textId="4E791BFC" w:rsidR="008C3AF3" w:rsidRDefault="008C3AF3" w:rsidP="007F4CD0">
      <w:pPr>
        <w:pStyle w:val="ListParagraph"/>
        <w:numPr>
          <w:ilvl w:val="0"/>
          <w:numId w:val="8"/>
        </w:numPr>
      </w:pPr>
      <w:r>
        <w:t xml:space="preserve">Political conflict – the </w:t>
      </w:r>
      <w:r w:rsidR="00A97612">
        <w:t xml:space="preserve">ongoing </w:t>
      </w:r>
      <w:r>
        <w:t>war in the middle east for Israel</w:t>
      </w:r>
      <w:r w:rsidR="003627B9">
        <w:t>,</w:t>
      </w:r>
      <w:r>
        <w:t xml:space="preserve"> </w:t>
      </w:r>
      <w:r w:rsidR="00802E86">
        <w:t>Humas</w:t>
      </w:r>
      <w:r w:rsidR="003627B9">
        <w:t xml:space="preserve"> and now Hezbollah</w:t>
      </w:r>
      <w:r w:rsidR="00A97612">
        <w:t>,</w:t>
      </w:r>
      <w:r>
        <w:t xml:space="preserve"> along with </w:t>
      </w:r>
      <w:r w:rsidR="00347702">
        <w:t>Ukraine</w:t>
      </w:r>
      <w:r>
        <w:t xml:space="preserve"> and Russia</w:t>
      </w:r>
      <w:r w:rsidR="00A97612">
        <w:t>,</w:t>
      </w:r>
      <w:r>
        <w:t xml:space="preserve"> </w:t>
      </w:r>
      <w:r w:rsidR="00D357C4">
        <w:t xml:space="preserve">remains a concern for </w:t>
      </w:r>
      <w:r>
        <w:t xml:space="preserve">investors. While not panicking, the underlying impact of these events put doubt into expectations for any </w:t>
      </w:r>
      <w:r w:rsidR="005D39F6">
        <w:t xml:space="preserve">speedy </w:t>
      </w:r>
      <w:r>
        <w:t>economic recovery</w:t>
      </w:r>
      <w:r w:rsidR="00D357C4">
        <w:t xml:space="preserve"> in Europe</w:t>
      </w:r>
      <w:r>
        <w:t>.</w:t>
      </w:r>
    </w:p>
    <w:p w14:paraId="3B593908" w14:textId="7129F3CE" w:rsidR="002A71FA" w:rsidRDefault="00601243" w:rsidP="007F4CD0">
      <w:pPr>
        <w:pStyle w:val="ListParagraph"/>
        <w:numPr>
          <w:ilvl w:val="0"/>
          <w:numId w:val="8"/>
        </w:numPr>
      </w:pPr>
      <w:r>
        <w:t xml:space="preserve">Global growth – </w:t>
      </w:r>
      <w:r w:rsidR="001415A2">
        <w:t>for our region</w:t>
      </w:r>
      <w:r w:rsidR="00D357C4">
        <w:t>,</w:t>
      </w:r>
      <w:r w:rsidR="001415A2">
        <w:t xml:space="preserve"> </w:t>
      </w:r>
      <w:r>
        <w:t xml:space="preserve">China is the focus with property developers </w:t>
      </w:r>
      <w:r w:rsidR="00D357C4">
        <w:t>still causing problems.</w:t>
      </w:r>
      <w:r>
        <w:t xml:space="preserve"> The ramifications </w:t>
      </w:r>
      <w:r w:rsidR="00A97612">
        <w:t xml:space="preserve">are that if </w:t>
      </w:r>
      <w:r>
        <w:t xml:space="preserve">China </w:t>
      </w:r>
      <w:r w:rsidR="00764C50">
        <w:t xml:space="preserve">starts to emerge from these </w:t>
      </w:r>
      <w:r w:rsidR="006078FE">
        <w:t>challenges,</w:t>
      </w:r>
      <w:r w:rsidR="00764C50">
        <w:t xml:space="preserve"> then, </w:t>
      </w:r>
      <w:r>
        <w:t xml:space="preserve">Australia will </w:t>
      </w:r>
      <w:r w:rsidR="001B08D3">
        <w:t>be</w:t>
      </w:r>
      <w:r w:rsidR="00764C50">
        <w:t>nefit</w:t>
      </w:r>
      <w:r>
        <w:t xml:space="preserve"> given, they are our biggest trading partner.</w:t>
      </w:r>
    </w:p>
    <w:p w14:paraId="0D3E5B51" w14:textId="7BC40579" w:rsidR="00BC11B5" w:rsidRDefault="00BC11B5" w:rsidP="007F4CD0">
      <w:pPr>
        <w:pStyle w:val="ListParagraph"/>
        <w:numPr>
          <w:ilvl w:val="0"/>
          <w:numId w:val="8"/>
        </w:numPr>
      </w:pPr>
      <w:r>
        <w:t xml:space="preserve">Inflation </w:t>
      </w:r>
      <w:r w:rsidR="003627B9">
        <w:t>marking time with a slight easing bias is aiding optimism</w:t>
      </w:r>
      <w:r w:rsidR="00B115AE">
        <w:t>,</w:t>
      </w:r>
      <w:r w:rsidR="00397D87">
        <w:t xml:space="preserve"> </w:t>
      </w:r>
      <w:r w:rsidR="000A26DE">
        <w:t xml:space="preserve">although </w:t>
      </w:r>
      <w:r w:rsidR="00397D87">
        <w:t xml:space="preserve">stubbornly </w:t>
      </w:r>
      <w:r w:rsidR="00601243">
        <w:t>above the target ranges of Central banks</w:t>
      </w:r>
      <w:r w:rsidR="00894F9E">
        <w:t>.</w:t>
      </w:r>
      <w:r w:rsidR="00601243">
        <w:t xml:space="preserve"> </w:t>
      </w:r>
      <w:r w:rsidR="00601243" w:rsidRPr="00601243">
        <w:t xml:space="preserve">The impact of monetary policy changes typically </w:t>
      </w:r>
      <w:r w:rsidR="001415A2" w:rsidRPr="00601243">
        <w:t>takes</w:t>
      </w:r>
      <w:r w:rsidR="00601243" w:rsidRPr="00601243">
        <w:t xml:space="preserve"> 12 </w:t>
      </w:r>
      <w:r w:rsidR="001415A2">
        <w:t>to</w:t>
      </w:r>
      <w:r w:rsidR="00601243" w:rsidRPr="00601243">
        <w:t xml:space="preserve"> 18 months to be felt and so </w:t>
      </w:r>
      <w:r w:rsidR="00601243">
        <w:t xml:space="preserve">markets are watching the economic data </w:t>
      </w:r>
      <w:r w:rsidR="001415A2">
        <w:t xml:space="preserve">closely </w:t>
      </w:r>
      <w:r w:rsidR="00601243">
        <w:t>for signals t</w:t>
      </w:r>
      <w:r w:rsidR="00601243" w:rsidRPr="00601243">
        <w:t>h</w:t>
      </w:r>
      <w:r w:rsidR="00601243">
        <w:t>at</w:t>
      </w:r>
      <w:r w:rsidR="00601243" w:rsidRPr="00601243">
        <w:t xml:space="preserve"> will challenge growth</w:t>
      </w:r>
      <w:r w:rsidR="00036FDA">
        <w:t xml:space="preserve"> expectations</w:t>
      </w:r>
      <w:r w:rsidR="00601243" w:rsidRPr="00601243">
        <w:t>.</w:t>
      </w:r>
    </w:p>
    <w:p w14:paraId="74BD26C3" w14:textId="6BB34431" w:rsidR="00BC11B5" w:rsidRDefault="00BC11B5" w:rsidP="007F4CD0">
      <w:pPr>
        <w:pStyle w:val="ListParagraph"/>
        <w:numPr>
          <w:ilvl w:val="0"/>
          <w:numId w:val="8"/>
        </w:numPr>
      </w:pPr>
      <w:r>
        <w:t xml:space="preserve">Bond markets </w:t>
      </w:r>
      <w:r w:rsidR="00FB0752">
        <w:t xml:space="preserve">and </w:t>
      </w:r>
      <w:r w:rsidR="00B44AF0">
        <w:t xml:space="preserve">their response to the </w:t>
      </w:r>
      <w:r w:rsidR="00E7618A">
        <w:t xml:space="preserve">start of easing by several Central Banks helped by the </w:t>
      </w:r>
      <w:r w:rsidR="00B44AF0">
        <w:t>latest inflation print</w:t>
      </w:r>
      <w:r w:rsidR="0021071B">
        <w:t xml:space="preserve">. With </w:t>
      </w:r>
      <w:r w:rsidR="006820B4">
        <w:t>a number of</w:t>
      </w:r>
      <w:r w:rsidR="0021071B">
        <w:t xml:space="preserve"> Central Banks moving to stimulate their economy early through easing interest rates, </w:t>
      </w:r>
      <w:r w:rsidR="00A97612">
        <w:t>the debt markets</w:t>
      </w:r>
      <w:r w:rsidR="00B115AE">
        <w:t xml:space="preserve"> </w:t>
      </w:r>
      <w:r w:rsidR="0021071B">
        <w:t xml:space="preserve">remain </w:t>
      </w:r>
      <w:r w:rsidR="00B115AE">
        <w:t>hesitant</w:t>
      </w:r>
      <w:r w:rsidR="00E7618A">
        <w:t>,</w:t>
      </w:r>
      <w:r w:rsidR="00B115AE">
        <w:t xml:space="preserve"> </w:t>
      </w:r>
      <w:r w:rsidR="0021071B">
        <w:t>choosing not to get too excited too early</w:t>
      </w:r>
      <w:r w:rsidR="006820B4">
        <w:t xml:space="preserve">. </w:t>
      </w:r>
    </w:p>
    <w:p w14:paraId="07A4B833" w14:textId="3F81A4E9" w:rsidR="008B2268" w:rsidRDefault="002C6C3E" w:rsidP="007F4CD0">
      <w:pPr>
        <w:pStyle w:val="ListParagraph"/>
        <w:numPr>
          <w:ilvl w:val="0"/>
          <w:numId w:val="8"/>
        </w:numPr>
      </w:pPr>
      <w:r>
        <w:t>M</w:t>
      </w:r>
      <w:r w:rsidR="00894F9E">
        <w:t>arket</w:t>
      </w:r>
      <w:r w:rsidR="001415A2">
        <w:t xml:space="preserve"> valuations are challenging</w:t>
      </w:r>
      <w:r w:rsidR="00B648FE">
        <w:t xml:space="preserve"> </w:t>
      </w:r>
      <w:r w:rsidR="001415A2">
        <w:t xml:space="preserve">along with </w:t>
      </w:r>
      <w:r w:rsidR="00B648FE">
        <w:t xml:space="preserve">economic indicators </w:t>
      </w:r>
      <w:r w:rsidR="00634FDD">
        <w:t xml:space="preserve">flagging </w:t>
      </w:r>
      <w:r w:rsidR="00B648FE">
        <w:t xml:space="preserve">downside </w:t>
      </w:r>
      <w:r w:rsidR="002D4F09">
        <w:t>risks;</w:t>
      </w:r>
      <w:r w:rsidR="00D90A2B">
        <w:t xml:space="preserve"> however, </w:t>
      </w:r>
      <w:r w:rsidR="002D4F09" w:rsidRPr="002D4F09">
        <w:rPr>
          <w:b/>
          <w:bCs/>
        </w:rPr>
        <w:t xml:space="preserve">investors are encouraged </w:t>
      </w:r>
      <w:r>
        <w:rPr>
          <w:b/>
          <w:bCs/>
        </w:rPr>
        <w:t xml:space="preserve">to </w:t>
      </w:r>
      <w:r w:rsidR="00E7618A">
        <w:rPr>
          <w:b/>
          <w:bCs/>
        </w:rPr>
        <w:t>maintain their cautious optimism</w:t>
      </w:r>
      <w:r w:rsidR="000218F1">
        <w:t>, navigate this period of uncertainty,</w:t>
      </w:r>
      <w:r w:rsidR="00B13339">
        <w:t xml:space="preserve"> and expect better conditions to prevail in the </w:t>
      </w:r>
      <w:r w:rsidR="00811AB7">
        <w:t>3rd</w:t>
      </w:r>
      <w:r w:rsidR="005D4428">
        <w:t xml:space="preserve"> and </w:t>
      </w:r>
      <w:r w:rsidR="00811AB7">
        <w:t>4th</w:t>
      </w:r>
      <w:r w:rsidR="005D4428">
        <w:t xml:space="preserve"> quarter of 2024.</w:t>
      </w:r>
      <w:r w:rsidR="00A00F13">
        <w:t xml:space="preserve"> </w:t>
      </w:r>
    </w:p>
    <w:p w14:paraId="56D9FA2F" w14:textId="20CC744E" w:rsidR="009300A6" w:rsidRDefault="00BC11B5" w:rsidP="004E0CA0">
      <w:r>
        <w:t>Locally the d</w:t>
      </w:r>
      <w:r w:rsidR="009300A6">
        <w:t xml:space="preserve">omestic house prices </w:t>
      </w:r>
      <w:r w:rsidR="00B648FE">
        <w:t xml:space="preserve">continued to </w:t>
      </w:r>
      <w:r w:rsidR="00384EB8">
        <w:t xml:space="preserve">drift higher </w:t>
      </w:r>
      <w:r w:rsidR="00114A2E">
        <w:t xml:space="preserve">despite the </w:t>
      </w:r>
      <w:r w:rsidR="009300A6">
        <w:t>brunt of the interest rate rises</w:t>
      </w:r>
      <w:r w:rsidR="00A00F13">
        <w:t xml:space="preserve"> </w:t>
      </w:r>
      <w:r w:rsidR="00384EB8">
        <w:t xml:space="preserve">as </w:t>
      </w:r>
      <w:r w:rsidR="00811AB7">
        <w:t xml:space="preserve">demand </w:t>
      </w:r>
      <w:r w:rsidR="0021071B">
        <w:t xml:space="preserve">continues to </w:t>
      </w:r>
      <w:r w:rsidR="00811AB7">
        <w:t xml:space="preserve">outstrip supply across </w:t>
      </w:r>
      <w:r w:rsidR="00A00F13">
        <w:t xml:space="preserve">stressed market sectors. </w:t>
      </w:r>
      <w:r w:rsidR="007F0FC4">
        <w:t>This</w:t>
      </w:r>
      <w:r>
        <w:t xml:space="preserve"> year will be challenging however, </w:t>
      </w:r>
      <w:r w:rsidRPr="00EF169D">
        <w:rPr>
          <w:b/>
          <w:bCs/>
        </w:rPr>
        <w:t xml:space="preserve">the broader economy </w:t>
      </w:r>
      <w:r w:rsidR="004E0473" w:rsidRPr="00EF169D">
        <w:rPr>
          <w:b/>
          <w:bCs/>
        </w:rPr>
        <w:t>is</w:t>
      </w:r>
      <w:r w:rsidRPr="00EF169D">
        <w:rPr>
          <w:b/>
          <w:bCs/>
        </w:rPr>
        <w:t xml:space="preserve"> weathering the storm well </w:t>
      </w:r>
      <w:r>
        <w:t xml:space="preserve">given the </w:t>
      </w:r>
      <w:r w:rsidR="00894F9E">
        <w:t xml:space="preserve">mixed </w:t>
      </w:r>
      <w:r>
        <w:t xml:space="preserve">support from </w:t>
      </w:r>
      <w:r w:rsidR="00DB1D18">
        <w:t xml:space="preserve">high immigration levels, </w:t>
      </w:r>
      <w:r>
        <w:t>commodity markets</w:t>
      </w:r>
      <w:r w:rsidR="00077B36">
        <w:t xml:space="preserve"> and the strong level of employment</w:t>
      </w:r>
      <w:r w:rsidR="00B648FE">
        <w:t xml:space="preserve"> </w:t>
      </w:r>
      <w:r w:rsidR="00384EB8">
        <w:t xml:space="preserve">with </w:t>
      </w:r>
      <w:r w:rsidR="00B648FE">
        <w:t>unemployment</w:t>
      </w:r>
      <w:r w:rsidR="00384EB8">
        <w:t xml:space="preserve"> sitting at </w:t>
      </w:r>
      <w:r w:rsidR="005E2C87">
        <w:t>4.0%</w:t>
      </w:r>
      <w:r w:rsidR="00811AB7">
        <w:t xml:space="preserve"> in Ma</w:t>
      </w:r>
      <w:r w:rsidR="005E2C87">
        <w:t>y</w:t>
      </w:r>
      <w:r w:rsidR="00811AB7">
        <w:t xml:space="preserve"> 2024 </w:t>
      </w:r>
      <w:r w:rsidR="005E2C87">
        <w:t>down</w:t>
      </w:r>
      <w:r w:rsidR="00811AB7">
        <w:t xml:space="preserve"> from </w:t>
      </w:r>
      <w:r w:rsidR="005E2C87">
        <w:t>4.1</w:t>
      </w:r>
      <w:r w:rsidR="00384EB8">
        <w:t>%</w:t>
      </w:r>
      <w:r w:rsidR="00B04E1B">
        <w:t xml:space="preserve"> in </w:t>
      </w:r>
      <w:r w:rsidR="005E2C87">
        <w:t>April</w:t>
      </w:r>
      <w:r w:rsidR="00B04E1B">
        <w:t xml:space="preserve"> 202</w:t>
      </w:r>
      <w:r w:rsidR="005D4428">
        <w:t>4</w:t>
      </w:r>
      <w:r w:rsidR="002A13EC">
        <w:t>.</w:t>
      </w:r>
    </w:p>
    <w:p w14:paraId="6362B567" w14:textId="5A3EF618" w:rsidR="007E753C" w:rsidRDefault="00BB0237" w:rsidP="00BD4294">
      <w:r>
        <w:t>The latest</w:t>
      </w:r>
      <w:r w:rsidR="00533128">
        <w:t xml:space="preserve"> inflation </w:t>
      </w:r>
      <w:r w:rsidR="005E2C87">
        <w:t>prints</w:t>
      </w:r>
      <w:r w:rsidR="00533128">
        <w:t xml:space="preserve"> </w:t>
      </w:r>
      <w:r w:rsidR="002A13EC">
        <w:t xml:space="preserve">for </w:t>
      </w:r>
      <w:r w:rsidR="005E2C87">
        <w:t xml:space="preserve">(year-on-year) </w:t>
      </w:r>
      <w:r w:rsidR="000E45E4">
        <w:t>f</w:t>
      </w:r>
      <w:r w:rsidR="00811AB7">
        <w:t>irst</w:t>
      </w:r>
      <w:r w:rsidR="00E3272D">
        <w:t xml:space="preserve"> quarter </w:t>
      </w:r>
      <w:r w:rsidR="00B648FE">
        <w:t>of 202</w:t>
      </w:r>
      <w:r w:rsidR="00811AB7">
        <w:t>4</w:t>
      </w:r>
      <w:r w:rsidR="00B648FE">
        <w:t xml:space="preserve"> </w:t>
      </w:r>
      <w:r w:rsidR="00533128">
        <w:t xml:space="preserve">in </w:t>
      </w:r>
      <w:r w:rsidR="00742B86">
        <w:t xml:space="preserve">Australia was </w:t>
      </w:r>
      <w:r w:rsidR="00811AB7">
        <w:t>3.6</w:t>
      </w:r>
      <w:r w:rsidR="00B26539">
        <w:t xml:space="preserve">% </w:t>
      </w:r>
      <w:r w:rsidR="002A13EC">
        <w:t xml:space="preserve">which was </w:t>
      </w:r>
      <w:r w:rsidR="00B648FE">
        <w:t>down</w:t>
      </w:r>
      <w:r w:rsidR="002A13EC">
        <w:t xml:space="preserve"> from the </w:t>
      </w:r>
      <w:r w:rsidR="000E45E4">
        <w:t>4</w:t>
      </w:r>
      <w:r w:rsidR="00811AB7">
        <w:t>.1</w:t>
      </w:r>
      <w:r w:rsidR="002A13EC">
        <w:t xml:space="preserve">% in the </w:t>
      </w:r>
      <w:r w:rsidR="00811AB7">
        <w:t>fourth</w:t>
      </w:r>
      <w:r w:rsidR="002A13EC">
        <w:t xml:space="preserve"> quarter of 202</w:t>
      </w:r>
      <w:r w:rsidR="00B21D78">
        <w:t>3</w:t>
      </w:r>
      <w:r w:rsidR="00B648FE">
        <w:t xml:space="preserve"> but still elevated</w:t>
      </w:r>
      <w:r w:rsidR="002A13EC">
        <w:t xml:space="preserve">. </w:t>
      </w:r>
      <w:r w:rsidR="001A2453">
        <w:t xml:space="preserve">Despite the </w:t>
      </w:r>
      <w:r w:rsidR="005E2C87">
        <w:t>improving</w:t>
      </w:r>
      <w:r w:rsidR="001A2453">
        <w:t xml:space="preserve"> level of inflation, t</w:t>
      </w:r>
      <w:r w:rsidR="00C103CF">
        <w:t xml:space="preserve">he RBA </w:t>
      </w:r>
      <w:r w:rsidR="001A2453">
        <w:t xml:space="preserve"> voted to </w:t>
      </w:r>
      <w:r w:rsidR="001A2453" w:rsidRPr="00EF169D">
        <w:rPr>
          <w:b/>
          <w:bCs/>
        </w:rPr>
        <w:t>hold the target cash rate at 4.35%</w:t>
      </w:r>
      <w:r w:rsidR="001A2453">
        <w:t xml:space="preserve"> </w:t>
      </w:r>
      <w:r w:rsidR="00C103CF">
        <w:t>at this month’s board meeting</w:t>
      </w:r>
      <w:r w:rsidR="005E2FB8">
        <w:t xml:space="preserve"> </w:t>
      </w:r>
      <w:r w:rsidR="00634FDD">
        <w:t xml:space="preserve">on the </w:t>
      </w:r>
      <w:r w:rsidR="00396B3C">
        <w:t>7</w:t>
      </w:r>
      <w:r w:rsidR="00EF6467" w:rsidRPr="00EF169D">
        <w:rPr>
          <w:vertAlign w:val="superscript"/>
        </w:rPr>
        <w:t>th of</w:t>
      </w:r>
      <w:r w:rsidR="00EF169D">
        <w:t xml:space="preserve"> </w:t>
      </w:r>
      <w:r w:rsidR="00B2416D">
        <w:t>M</w:t>
      </w:r>
      <w:r w:rsidR="00396B3C">
        <w:t>ay</w:t>
      </w:r>
      <w:r w:rsidR="00E3272D">
        <w:t xml:space="preserve"> </w:t>
      </w:r>
      <w:r w:rsidR="00634FDD">
        <w:t>202</w:t>
      </w:r>
      <w:r w:rsidR="000E45E4">
        <w:t>4</w:t>
      </w:r>
      <w:r w:rsidR="00EF169D">
        <w:t>.</w:t>
      </w:r>
      <w:r w:rsidR="002A13EC">
        <w:t xml:space="preserve"> </w:t>
      </w:r>
    </w:p>
    <w:p w14:paraId="0FBDDE4B" w14:textId="73FF7F21" w:rsidR="0046215F" w:rsidRDefault="00784798" w:rsidP="004E0CA0">
      <w:r>
        <w:t>Despite the political conflict</w:t>
      </w:r>
      <w:r w:rsidR="002C6C3E">
        <w:t xml:space="preserve">, the investment markets are looking stronger </w:t>
      </w:r>
      <w:r w:rsidR="00E7618A">
        <w:t>boosted</w:t>
      </w:r>
      <w:r w:rsidR="002C6C3E">
        <w:t xml:space="preserve"> by</w:t>
      </w:r>
      <w:r>
        <w:t xml:space="preserve"> </w:t>
      </w:r>
      <w:r w:rsidR="002C6C3E">
        <w:t>company</w:t>
      </w:r>
      <w:r>
        <w:t xml:space="preserve"> </w:t>
      </w:r>
      <w:r w:rsidR="008A4A7F" w:rsidRPr="008A4A7F">
        <w:t xml:space="preserve">fundamentals </w:t>
      </w:r>
      <w:r w:rsidR="002C6C3E">
        <w:t xml:space="preserve">which are </w:t>
      </w:r>
      <w:r w:rsidR="00DB4D4C">
        <w:t xml:space="preserve">still supportive of longer-term </w:t>
      </w:r>
      <w:r w:rsidR="005C4645">
        <w:t xml:space="preserve">recovery but not without </w:t>
      </w:r>
      <w:r w:rsidR="0046215F">
        <w:t>short-term downside risk</w:t>
      </w:r>
      <w:r w:rsidR="005C4645">
        <w:t xml:space="preserve">. Investors </w:t>
      </w:r>
      <w:r w:rsidR="00802B47">
        <w:t>have a</w:t>
      </w:r>
      <w:r w:rsidR="007E1B21">
        <w:t>djusted</w:t>
      </w:r>
      <w:r w:rsidR="00802B47">
        <w:t xml:space="preserve"> their risk appetite </w:t>
      </w:r>
      <w:r w:rsidR="00B26539">
        <w:t>to</w:t>
      </w:r>
      <w:r w:rsidR="0046215F" w:rsidRPr="00975C44">
        <w:rPr>
          <w:b/>
          <w:bCs/>
        </w:rPr>
        <w:t xml:space="preserve"> </w:t>
      </w:r>
      <w:r w:rsidR="00975C44" w:rsidRPr="00975C44">
        <w:rPr>
          <w:b/>
          <w:bCs/>
        </w:rPr>
        <w:t>“</w:t>
      </w:r>
      <w:r w:rsidR="00311F31">
        <w:rPr>
          <w:b/>
          <w:bCs/>
        </w:rPr>
        <w:t>cautiously optimistic</w:t>
      </w:r>
      <w:r w:rsidR="00975C44" w:rsidRPr="00975C44">
        <w:rPr>
          <w:b/>
          <w:bCs/>
        </w:rPr>
        <w:t>”</w:t>
      </w:r>
      <w:r w:rsidR="00975C44">
        <w:t xml:space="preserve"> </w:t>
      </w:r>
      <w:r w:rsidR="00C103CF">
        <w:t xml:space="preserve">short </w:t>
      </w:r>
      <w:r w:rsidR="006A01FF">
        <w:t>term and</w:t>
      </w:r>
      <w:r w:rsidR="00C103CF">
        <w:t xml:space="preserve"> </w:t>
      </w:r>
      <w:r w:rsidR="00396B3C">
        <w:t xml:space="preserve">remain </w:t>
      </w:r>
      <w:r w:rsidRPr="00784798">
        <w:rPr>
          <w:b/>
          <w:bCs/>
        </w:rPr>
        <w:t>“optimistic”</w:t>
      </w:r>
      <w:r>
        <w:t xml:space="preserve"> </w:t>
      </w:r>
      <w:r w:rsidR="00282C5F">
        <w:t xml:space="preserve">medium term </w:t>
      </w:r>
      <w:r w:rsidR="00B26539">
        <w:t xml:space="preserve">as they await the next round of </w:t>
      </w:r>
      <w:r w:rsidR="00C103CF">
        <w:t xml:space="preserve">inflation data and </w:t>
      </w:r>
      <w:r w:rsidR="00B26539">
        <w:t xml:space="preserve">Central Bank activity </w:t>
      </w:r>
      <w:r w:rsidR="007E753C">
        <w:t xml:space="preserve">however, the signals are getting better and </w:t>
      </w:r>
      <w:r w:rsidR="007E753C" w:rsidRPr="006A01FF">
        <w:rPr>
          <w:b/>
          <w:bCs/>
        </w:rPr>
        <w:t xml:space="preserve">opportunistic </w:t>
      </w:r>
      <w:r w:rsidR="00B26539" w:rsidRPr="006A01FF">
        <w:rPr>
          <w:b/>
          <w:bCs/>
        </w:rPr>
        <w:t>buying</w:t>
      </w:r>
      <w:r w:rsidR="00B26539">
        <w:t xml:space="preserve"> </w:t>
      </w:r>
      <w:r w:rsidR="007E753C">
        <w:t xml:space="preserve">is </w:t>
      </w:r>
      <w:r w:rsidR="00396B3C">
        <w:t>preferred</w:t>
      </w:r>
      <w:r w:rsidR="002C6C3E">
        <w:t xml:space="preserve"> </w:t>
      </w:r>
      <w:r w:rsidR="00111F8D">
        <w:t xml:space="preserve">despite the </w:t>
      </w:r>
      <w:r w:rsidR="00EF169D">
        <w:t xml:space="preserve">threat of an economic slowdown </w:t>
      </w:r>
      <w:r w:rsidR="005F21FA">
        <w:t xml:space="preserve"> at some future point</w:t>
      </w:r>
      <w:r w:rsidR="00634FDD">
        <w:t xml:space="preserve"> but the </w:t>
      </w:r>
      <w:r w:rsidR="008970F9">
        <w:t>severity is now seen as limited</w:t>
      </w:r>
      <w:r w:rsidR="00B26539">
        <w:t>.</w:t>
      </w:r>
      <w:r w:rsidR="005C4645">
        <w:t xml:space="preserve"> </w:t>
      </w:r>
      <w:r w:rsidR="006A01FF">
        <w:t xml:space="preserve">We are looking for a </w:t>
      </w:r>
      <w:r w:rsidR="006A01FF" w:rsidRPr="006A01FF">
        <w:rPr>
          <w:b/>
          <w:bCs/>
        </w:rPr>
        <w:t>soft landing</w:t>
      </w:r>
      <w:r w:rsidR="006A01FF">
        <w:t xml:space="preserve"> for Australia.</w:t>
      </w:r>
    </w:p>
    <w:p w14:paraId="247AB076" w14:textId="11C4F6CE" w:rsidR="00E76659" w:rsidRDefault="00EF6467" w:rsidP="004E0CA0">
      <w:r>
        <w:lastRenderedPageBreak/>
        <w:t>Ukraine</w:t>
      </w:r>
      <w:r w:rsidR="00EF169D">
        <w:t xml:space="preserve"> and Israel conflict is still a major concern for investors however, </w:t>
      </w:r>
      <w:r w:rsidR="00784798">
        <w:t xml:space="preserve">we are a long way from the conflict zone and </w:t>
      </w:r>
      <w:r w:rsidR="006412E9">
        <w:t xml:space="preserve">the </w:t>
      </w:r>
      <w:r w:rsidR="00EF169D">
        <w:t xml:space="preserve">global </w:t>
      </w:r>
      <w:r w:rsidR="006A01FF">
        <w:t xml:space="preserve">economic data </w:t>
      </w:r>
      <w:r w:rsidR="00BB7944">
        <w:t xml:space="preserve">is improving </w:t>
      </w:r>
      <w:r w:rsidR="00CB3683">
        <w:t xml:space="preserve">slowly </w:t>
      </w:r>
      <w:r w:rsidR="00BB7944">
        <w:t xml:space="preserve">but the </w:t>
      </w:r>
      <w:r w:rsidR="00457450">
        <w:t xml:space="preserve">main </w:t>
      </w:r>
      <w:r w:rsidR="00BB7944">
        <w:t xml:space="preserve">influence on our market </w:t>
      </w:r>
      <w:r w:rsidR="00EF169D">
        <w:t xml:space="preserve">remains from </w:t>
      </w:r>
      <w:r w:rsidR="00BB7944">
        <w:t>offshore</w:t>
      </w:r>
      <w:r w:rsidR="00CB3683">
        <w:t>, especially China</w:t>
      </w:r>
      <w:r w:rsidR="00BB7944">
        <w:t xml:space="preserve">. </w:t>
      </w:r>
      <w:r w:rsidR="00CB3683">
        <w:t xml:space="preserve">China is experiencing issues relating to </w:t>
      </w:r>
      <w:r w:rsidR="00EF169D">
        <w:t xml:space="preserve">growth and </w:t>
      </w:r>
      <w:r w:rsidR="00404E3B">
        <w:t xml:space="preserve">Property developers </w:t>
      </w:r>
      <w:r w:rsidR="00E3272D">
        <w:t>which is holding back the improving underlying market conditions</w:t>
      </w:r>
      <w:r w:rsidR="00190B5B">
        <w:t xml:space="preserve"> in the region</w:t>
      </w:r>
      <w:r w:rsidR="00E3272D">
        <w:t xml:space="preserve">. </w:t>
      </w:r>
    </w:p>
    <w:p w14:paraId="0E2E95FA" w14:textId="12877F3B" w:rsidR="004104F2" w:rsidRPr="004B4415" w:rsidRDefault="00FB1617" w:rsidP="00B53288">
      <w:pPr>
        <w:rPr>
          <w:b/>
          <w:bCs/>
        </w:rPr>
      </w:pPr>
      <w:r w:rsidRPr="004B4415">
        <w:rPr>
          <w:b/>
          <w:bCs/>
        </w:rPr>
        <w:t xml:space="preserve">The following </w:t>
      </w:r>
      <w:r w:rsidR="004B4415">
        <w:rPr>
          <w:b/>
          <w:bCs/>
        </w:rPr>
        <w:t xml:space="preserve">total </w:t>
      </w:r>
      <w:r w:rsidRPr="004B4415">
        <w:rPr>
          <w:b/>
          <w:bCs/>
        </w:rPr>
        <w:t>re</w:t>
      </w:r>
      <w:r w:rsidR="004B4415">
        <w:rPr>
          <w:b/>
          <w:bCs/>
        </w:rPr>
        <w:t>turns</w:t>
      </w:r>
      <w:r w:rsidRPr="004B4415">
        <w:rPr>
          <w:b/>
          <w:bCs/>
        </w:rPr>
        <w:t xml:space="preserve"> </w:t>
      </w:r>
      <w:r w:rsidR="0081288E">
        <w:rPr>
          <w:b/>
          <w:bCs/>
        </w:rPr>
        <w:t xml:space="preserve">across the asset classes </w:t>
      </w:r>
      <w:r w:rsidRPr="004B4415">
        <w:rPr>
          <w:b/>
          <w:bCs/>
        </w:rPr>
        <w:t xml:space="preserve">are as of </w:t>
      </w:r>
      <w:r w:rsidR="003B1467">
        <w:rPr>
          <w:b/>
          <w:bCs/>
        </w:rPr>
        <w:t>3</w:t>
      </w:r>
      <w:r w:rsidR="00C117E1">
        <w:rPr>
          <w:b/>
          <w:bCs/>
        </w:rPr>
        <w:t>1</w:t>
      </w:r>
      <w:r w:rsidR="00C117E1" w:rsidRPr="00C117E1">
        <w:rPr>
          <w:b/>
          <w:bCs/>
          <w:vertAlign w:val="superscript"/>
        </w:rPr>
        <w:t>st</w:t>
      </w:r>
      <w:r w:rsidR="00C117E1">
        <w:rPr>
          <w:b/>
          <w:bCs/>
        </w:rPr>
        <w:t xml:space="preserve"> May</w:t>
      </w:r>
      <w:r w:rsidRPr="004B4415">
        <w:rPr>
          <w:b/>
          <w:bCs/>
        </w:rPr>
        <w:t xml:space="preserve"> 202</w:t>
      </w:r>
      <w:r w:rsidR="00190B5B">
        <w:rPr>
          <w:b/>
          <w:bCs/>
        </w:rPr>
        <w:t>4</w:t>
      </w:r>
      <w:r w:rsidRPr="004B4415">
        <w:rPr>
          <w:b/>
          <w:bCs/>
        </w:rPr>
        <w:t>:</w:t>
      </w:r>
    </w:p>
    <w:p w14:paraId="13295CC7" w14:textId="6FAFDFB5" w:rsidR="004104F2" w:rsidRDefault="00C117E1" w:rsidP="00B53288">
      <w:r w:rsidRPr="00C117E1">
        <w:rPr>
          <w:noProof/>
        </w:rPr>
        <w:drawing>
          <wp:inline distT="0" distB="0" distL="0" distR="0" wp14:anchorId="2899C2C1" wp14:editId="1EA65FA4">
            <wp:extent cx="5410200" cy="1409700"/>
            <wp:effectExtent l="0" t="0" r="0" b="0"/>
            <wp:docPr id="790155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0" cy="1409700"/>
                    </a:xfrm>
                    <a:prstGeom prst="rect">
                      <a:avLst/>
                    </a:prstGeom>
                    <a:noFill/>
                    <a:ln>
                      <a:noFill/>
                    </a:ln>
                  </pic:spPr>
                </pic:pic>
              </a:graphicData>
            </a:graphic>
          </wp:inline>
        </w:drawing>
      </w:r>
    </w:p>
    <w:p w14:paraId="549039F8" w14:textId="02A1BC24" w:rsidR="00867438" w:rsidRPr="00055F78" w:rsidRDefault="001308C8" w:rsidP="00055F78">
      <w:pPr>
        <w:jc w:val="center"/>
        <w:rPr>
          <w:sz w:val="18"/>
        </w:rPr>
      </w:pPr>
      <w:r w:rsidRPr="00A70A09">
        <w:rPr>
          <w:sz w:val="18"/>
        </w:rPr>
        <w:t xml:space="preserve">Source data: Lonsec as of </w:t>
      </w:r>
      <w:r w:rsidR="00D528C0">
        <w:rPr>
          <w:sz w:val="18"/>
        </w:rPr>
        <w:t>3</w:t>
      </w:r>
      <w:r w:rsidR="00C117E1">
        <w:rPr>
          <w:sz w:val="18"/>
        </w:rPr>
        <w:t>1</w:t>
      </w:r>
      <w:r w:rsidR="00C117E1" w:rsidRPr="00C117E1">
        <w:rPr>
          <w:sz w:val="18"/>
          <w:vertAlign w:val="superscript"/>
        </w:rPr>
        <w:t>st</w:t>
      </w:r>
      <w:r w:rsidR="00C117E1">
        <w:rPr>
          <w:sz w:val="18"/>
        </w:rPr>
        <w:t xml:space="preserve"> May</w:t>
      </w:r>
      <w:r w:rsidR="00784798">
        <w:rPr>
          <w:sz w:val="18"/>
        </w:rPr>
        <w:t xml:space="preserve"> </w:t>
      </w:r>
      <w:r w:rsidR="0005797F">
        <w:rPr>
          <w:sz w:val="18"/>
        </w:rPr>
        <w:t>202</w:t>
      </w:r>
      <w:r w:rsidR="00190B5B">
        <w:rPr>
          <w:sz w:val="18"/>
        </w:rPr>
        <w:t>4</w:t>
      </w:r>
      <w:r w:rsidR="00BA2B8F">
        <w:fldChar w:fldCharType="begin"/>
      </w:r>
      <w:r w:rsidR="00BA2B8F">
        <w:instrText xml:space="preserve"> INCLUDEPICTURE "https://pbs.twimg.com/media/E6JeJH4WYAA_7yS?format=jpg&amp;name=4096x4096" \* MERGEFORMATINET </w:instrText>
      </w:r>
      <w:r w:rsidR="005A123C">
        <w:fldChar w:fldCharType="separate"/>
      </w:r>
      <w:r w:rsidR="00BA2B8F">
        <w:fldChar w:fldCharType="end"/>
      </w:r>
    </w:p>
    <w:p w14:paraId="1DE3D6DE" w14:textId="49D18A56" w:rsidR="000C7672" w:rsidRDefault="00A23AF0" w:rsidP="00B53288">
      <w:r>
        <w:t>The developed markets a</w:t>
      </w:r>
      <w:r w:rsidR="00365C86">
        <w:t xml:space="preserve">sset classes </w:t>
      </w:r>
      <w:r w:rsidR="00EF6467">
        <w:t>finished</w:t>
      </w:r>
      <w:r w:rsidR="00CE64CE">
        <w:t xml:space="preserve"> </w:t>
      </w:r>
      <w:r w:rsidR="005B03C8">
        <w:t>in positive territory</w:t>
      </w:r>
      <w:r w:rsidR="006078FE">
        <w:t xml:space="preserve"> </w:t>
      </w:r>
      <w:r w:rsidR="00CE64CE">
        <w:t xml:space="preserve">for </w:t>
      </w:r>
      <w:r>
        <w:t>the month</w:t>
      </w:r>
      <w:r w:rsidR="007B57BE">
        <w:t>.</w:t>
      </w:r>
      <w:r w:rsidR="00365C86">
        <w:t xml:space="preserve"> </w:t>
      </w:r>
      <w:r w:rsidR="007F0FC4">
        <w:t xml:space="preserve">The </w:t>
      </w:r>
      <w:r w:rsidR="005F21FA">
        <w:t>AUD/</w:t>
      </w:r>
      <w:r w:rsidR="007F0FC4">
        <w:t>USD f</w:t>
      </w:r>
      <w:r>
        <w:t>inished</w:t>
      </w:r>
      <w:r w:rsidR="00396B3C">
        <w:t xml:space="preserve"> </w:t>
      </w:r>
      <w:r w:rsidR="00311F31">
        <w:t>high</w:t>
      </w:r>
      <w:r w:rsidR="00396B3C">
        <w:t>er</w:t>
      </w:r>
      <w:r w:rsidR="00CE64CE">
        <w:t xml:space="preserve"> </w:t>
      </w:r>
      <w:r w:rsidR="00311F31">
        <w:t xml:space="preserve">0.6637 </w:t>
      </w:r>
      <w:r>
        <w:t>(</w:t>
      </w:r>
      <w:r w:rsidR="00311F31">
        <w:t>+1.72</w:t>
      </w:r>
      <w:r>
        <w:t>%)</w:t>
      </w:r>
      <w:r w:rsidR="007F0FC4">
        <w:t xml:space="preserve"> in the month which </w:t>
      </w:r>
      <w:r w:rsidR="00311F31">
        <w:t>cost</w:t>
      </w:r>
      <w:r w:rsidR="007F0FC4">
        <w:t xml:space="preserve"> </w:t>
      </w:r>
      <w:r w:rsidR="00E7618A">
        <w:t xml:space="preserve">returns for </w:t>
      </w:r>
      <w:r w:rsidR="007F0FC4">
        <w:t xml:space="preserve">unhedged holdings. </w:t>
      </w:r>
    </w:p>
    <w:p w14:paraId="51DC9C5A" w14:textId="452B5364" w:rsidR="005D4428" w:rsidRPr="000678F3" w:rsidRDefault="000678F3" w:rsidP="00B53288">
      <w:r w:rsidRPr="000678F3">
        <w:t>With</w:t>
      </w:r>
      <w:r>
        <w:rPr>
          <w:b/>
          <w:bCs/>
        </w:rPr>
        <w:t xml:space="preserve"> </w:t>
      </w:r>
      <w:r w:rsidR="00311F31">
        <w:rPr>
          <w:b/>
          <w:bCs/>
        </w:rPr>
        <w:t>the FY</w:t>
      </w:r>
      <w:r w:rsidR="00E7618A">
        <w:rPr>
          <w:b/>
          <w:bCs/>
        </w:rPr>
        <w:t xml:space="preserve">-end </w:t>
      </w:r>
      <w:r w:rsidR="00311F31">
        <w:rPr>
          <w:b/>
          <w:bCs/>
        </w:rPr>
        <w:t xml:space="preserve">fast approaching </w:t>
      </w:r>
      <w:r w:rsidR="006078FE">
        <w:t xml:space="preserve">investors </w:t>
      </w:r>
      <w:r w:rsidR="00063F3C">
        <w:t>encouraged by the results especially the high number of companies that achieved or exceeded earnings per share guidance.</w:t>
      </w:r>
    </w:p>
    <w:p w14:paraId="4A4DCEFF" w14:textId="693F3308" w:rsidR="001C4340" w:rsidRPr="001C4340" w:rsidRDefault="001C4340" w:rsidP="00B53288">
      <w:pPr>
        <w:rPr>
          <w:b/>
          <w:bCs/>
        </w:rPr>
      </w:pPr>
      <w:r w:rsidRPr="001C4340">
        <w:rPr>
          <w:b/>
          <w:bCs/>
        </w:rPr>
        <w:t>Asset Class Performance</w:t>
      </w:r>
    </w:p>
    <w:p w14:paraId="5FFD9B16" w14:textId="0C8DBC7B" w:rsidR="00EA4358" w:rsidRDefault="008970F9" w:rsidP="005B03C8">
      <w:r w:rsidRPr="008970F9">
        <w:rPr>
          <w:rFonts w:ascii="Calibri" w:hAnsi="Calibri" w:cs="Calibri"/>
          <w:noProof/>
          <w:color w:val="222222"/>
          <w:sz w:val="24"/>
          <w:szCs w:val="24"/>
          <w:shd w:val="clear" w:color="auto" w:fill="FFFFFF"/>
        </w:rPr>
        <w:t xml:space="preserve"> </w:t>
      </w:r>
      <w:r w:rsidR="005E2C87" w:rsidRPr="005E2C87">
        <w:rPr>
          <w:noProof/>
        </w:rPr>
        <w:drawing>
          <wp:inline distT="0" distB="0" distL="0" distR="0" wp14:anchorId="72FDDE57" wp14:editId="0CBD889D">
            <wp:extent cx="5389793" cy="3305175"/>
            <wp:effectExtent l="0" t="0" r="0" b="0"/>
            <wp:docPr id="5225235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5433" cy="3314766"/>
                    </a:xfrm>
                    <a:prstGeom prst="rect">
                      <a:avLst/>
                    </a:prstGeom>
                    <a:noFill/>
                    <a:ln>
                      <a:noFill/>
                    </a:ln>
                  </pic:spPr>
                </pic:pic>
              </a:graphicData>
            </a:graphic>
          </wp:inline>
        </w:drawing>
      </w:r>
    </w:p>
    <w:p w14:paraId="4F173F3B" w14:textId="2A2B0F3A" w:rsidR="00E2343E" w:rsidRDefault="001F3631" w:rsidP="00E7618A">
      <w:pPr>
        <w:jc w:val="center"/>
        <w:rPr>
          <w:sz w:val="16"/>
          <w:szCs w:val="16"/>
        </w:rPr>
      </w:pPr>
      <w:r w:rsidRPr="001F3631">
        <w:rPr>
          <w:sz w:val="16"/>
          <w:szCs w:val="16"/>
        </w:rPr>
        <w:lastRenderedPageBreak/>
        <w:t xml:space="preserve">Data Source: Lonsec </w:t>
      </w:r>
      <w:r w:rsidR="0062338B">
        <w:rPr>
          <w:sz w:val="16"/>
          <w:szCs w:val="16"/>
        </w:rPr>
        <w:t>as of</w:t>
      </w:r>
      <w:r w:rsidR="000458E9">
        <w:rPr>
          <w:sz w:val="16"/>
          <w:szCs w:val="16"/>
        </w:rPr>
        <w:t xml:space="preserve"> </w:t>
      </w:r>
      <w:r w:rsidR="006C3C9E">
        <w:rPr>
          <w:sz w:val="16"/>
          <w:szCs w:val="16"/>
        </w:rPr>
        <w:t>3</w:t>
      </w:r>
      <w:r w:rsidR="005E2C87">
        <w:rPr>
          <w:sz w:val="16"/>
          <w:szCs w:val="16"/>
        </w:rPr>
        <w:t>1</w:t>
      </w:r>
      <w:r w:rsidR="005E2C87" w:rsidRPr="005E2C87">
        <w:rPr>
          <w:sz w:val="16"/>
          <w:szCs w:val="16"/>
          <w:vertAlign w:val="superscript"/>
        </w:rPr>
        <w:t>st</w:t>
      </w:r>
      <w:r w:rsidR="005E2C87">
        <w:rPr>
          <w:sz w:val="16"/>
          <w:szCs w:val="16"/>
        </w:rPr>
        <w:t xml:space="preserve"> May</w:t>
      </w:r>
      <w:r w:rsidR="00063F3C">
        <w:rPr>
          <w:sz w:val="16"/>
          <w:szCs w:val="16"/>
          <w:vertAlign w:val="superscript"/>
        </w:rPr>
        <w:t xml:space="preserve"> </w:t>
      </w:r>
      <w:r w:rsidR="004E3C80">
        <w:rPr>
          <w:sz w:val="16"/>
          <w:szCs w:val="16"/>
        </w:rPr>
        <w:t>202</w:t>
      </w:r>
      <w:r w:rsidR="00190B5B">
        <w:rPr>
          <w:sz w:val="16"/>
          <w:szCs w:val="16"/>
        </w:rPr>
        <w:t>4</w:t>
      </w:r>
      <w:r w:rsidR="0062338B">
        <w:rPr>
          <w:sz w:val="16"/>
          <w:szCs w:val="16"/>
        </w:rPr>
        <w:t xml:space="preserve"> </w:t>
      </w:r>
      <w:r w:rsidRPr="001F3631">
        <w:rPr>
          <w:sz w:val="16"/>
          <w:szCs w:val="16"/>
        </w:rPr>
        <w:t>&amp; Fox Asset Management</w:t>
      </w:r>
    </w:p>
    <w:p w14:paraId="68131F76" w14:textId="2622DB31" w:rsidR="00D72B03" w:rsidRPr="00D72B03" w:rsidRDefault="007B7DEB" w:rsidP="00F6077E">
      <w:pPr>
        <w:rPr>
          <w:b/>
          <w:bCs/>
        </w:rPr>
      </w:pPr>
      <w:r>
        <w:rPr>
          <w:b/>
          <w:bCs/>
        </w:rPr>
        <w:t>In</w:t>
      </w:r>
      <w:r w:rsidRPr="00D72B03">
        <w:rPr>
          <w:b/>
          <w:bCs/>
        </w:rPr>
        <w:t>vestment</w:t>
      </w:r>
      <w:r w:rsidR="00D72B03" w:rsidRPr="00D72B03">
        <w:rPr>
          <w:b/>
          <w:bCs/>
        </w:rPr>
        <w:t xml:space="preserve"> Climate</w:t>
      </w:r>
    </w:p>
    <w:p w14:paraId="1701C39F" w14:textId="64AC1B1E" w:rsidR="000678F3" w:rsidRDefault="004B4415" w:rsidP="001E16AE">
      <w:pPr>
        <w:spacing w:before="120" w:after="120"/>
      </w:pPr>
      <w:r>
        <w:t>T</w:t>
      </w:r>
      <w:r w:rsidR="00016329" w:rsidRPr="006A3FD2">
        <w:t xml:space="preserve">he </w:t>
      </w:r>
      <w:r w:rsidR="00D94036">
        <w:t xml:space="preserve">underlying </w:t>
      </w:r>
      <w:r w:rsidR="00016329" w:rsidRPr="006A3FD2">
        <w:t>investment climate</w:t>
      </w:r>
      <w:r w:rsidR="00016329">
        <w:t xml:space="preserve"> </w:t>
      </w:r>
      <w:r w:rsidR="007C64CC">
        <w:t xml:space="preserve">has </w:t>
      </w:r>
      <w:r w:rsidR="00074A1A">
        <w:t xml:space="preserve">reverted </w:t>
      </w:r>
      <w:r w:rsidR="007C64CC">
        <w:t xml:space="preserve">to </w:t>
      </w:r>
      <w:r w:rsidR="001E16AE">
        <w:rPr>
          <w:b/>
          <w:bCs/>
        </w:rPr>
        <w:t>“</w:t>
      </w:r>
      <w:r w:rsidR="00311F31">
        <w:rPr>
          <w:b/>
          <w:bCs/>
        </w:rPr>
        <w:t>cautiously optimistic</w:t>
      </w:r>
      <w:r w:rsidR="001E16AE">
        <w:rPr>
          <w:b/>
          <w:bCs/>
        </w:rPr>
        <w:t>”</w:t>
      </w:r>
      <w:r w:rsidR="00574A05">
        <w:t xml:space="preserve"> </w:t>
      </w:r>
      <w:r w:rsidR="007E0186">
        <w:t xml:space="preserve">in the </w:t>
      </w:r>
      <w:r w:rsidR="007E0186" w:rsidRPr="00C40007">
        <w:t xml:space="preserve">short term </w:t>
      </w:r>
      <w:r w:rsidR="0027780B">
        <w:t xml:space="preserve">as investors </w:t>
      </w:r>
      <w:r w:rsidR="00074A1A">
        <w:t>wait for the interest rate markets to settle. T</w:t>
      </w:r>
      <w:r w:rsidR="00B02125">
        <w:t xml:space="preserve">he </w:t>
      </w:r>
      <w:r w:rsidR="00074A1A">
        <w:t>soft-landing</w:t>
      </w:r>
      <w:r w:rsidR="00B02125">
        <w:t xml:space="preserve"> </w:t>
      </w:r>
      <w:r w:rsidR="00074A1A">
        <w:t xml:space="preserve">expectations </w:t>
      </w:r>
      <w:r w:rsidR="00B02125">
        <w:t>and economic recovery</w:t>
      </w:r>
      <w:r w:rsidR="00074A1A">
        <w:t xml:space="preserve"> are still supported</w:t>
      </w:r>
      <w:r w:rsidR="00B02125">
        <w:t xml:space="preserve"> despite the </w:t>
      </w:r>
      <w:r w:rsidR="002627B9">
        <w:t xml:space="preserve">European and </w:t>
      </w:r>
      <w:r w:rsidR="001E16AE">
        <w:t xml:space="preserve">middle east conflict. </w:t>
      </w:r>
      <w:r w:rsidR="003B1467">
        <w:t xml:space="preserve">The recent </w:t>
      </w:r>
      <w:r w:rsidR="00E7618A">
        <w:t xml:space="preserve">US </w:t>
      </w:r>
      <w:r w:rsidR="00074A1A">
        <w:t xml:space="preserve">year-on-year </w:t>
      </w:r>
      <w:r w:rsidR="003B1467">
        <w:t xml:space="preserve">inflation numbers </w:t>
      </w:r>
      <w:r w:rsidR="00E7618A">
        <w:t>(</w:t>
      </w:r>
      <w:r w:rsidR="00E7618A" w:rsidRPr="00E7618A">
        <w:t>3.3% in May 2024 from 3.4% in April 2024</w:t>
      </w:r>
      <w:r w:rsidR="00E7618A">
        <w:t>),</w:t>
      </w:r>
      <w:r w:rsidR="00E7618A" w:rsidRPr="00E7618A">
        <w:t xml:space="preserve"> </w:t>
      </w:r>
      <w:r w:rsidR="00074A1A">
        <w:t xml:space="preserve">are supportive of the </w:t>
      </w:r>
      <w:r w:rsidR="00984AC0">
        <w:t>longer-term</w:t>
      </w:r>
      <w:r w:rsidR="00074A1A">
        <w:t xml:space="preserve"> expectations </w:t>
      </w:r>
      <w:r w:rsidR="00497862">
        <w:t xml:space="preserve">along with the unchanged </w:t>
      </w:r>
      <w:r w:rsidR="00074A1A">
        <w:t xml:space="preserve">month-on-month numbers </w:t>
      </w:r>
      <w:r w:rsidR="00984AC0">
        <w:t>(</w:t>
      </w:r>
      <w:r w:rsidR="00497862">
        <w:t>0%</w:t>
      </w:r>
      <w:r w:rsidR="00984AC0">
        <w:t>)</w:t>
      </w:r>
      <w:r w:rsidR="00074A1A">
        <w:t xml:space="preserve"> in </w:t>
      </w:r>
      <w:r w:rsidR="00497862">
        <w:t>M</w:t>
      </w:r>
      <w:r w:rsidR="003B1467">
        <w:t>ay</w:t>
      </w:r>
      <w:r w:rsidR="00497862">
        <w:t xml:space="preserve"> 2024</w:t>
      </w:r>
      <w:r w:rsidR="00E7618A">
        <w:t>,</w:t>
      </w:r>
      <w:r w:rsidR="00497862">
        <w:t xml:space="preserve"> will</w:t>
      </w:r>
      <w:r w:rsidR="003B1467">
        <w:t xml:space="preserve"> </w:t>
      </w:r>
      <w:r w:rsidR="00497862">
        <w:t xml:space="preserve">not impact </w:t>
      </w:r>
      <w:r w:rsidR="003B1467">
        <w:t xml:space="preserve">the risk appetite </w:t>
      </w:r>
      <w:r w:rsidR="00497862">
        <w:t xml:space="preserve">of investors </w:t>
      </w:r>
      <w:r w:rsidR="003B1467">
        <w:t>given inflation is holding its ground</w:t>
      </w:r>
      <w:r w:rsidR="00497862">
        <w:t>.</w:t>
      </w:r>
    </w:p>
    <w:p w14:paraId="0AEB38DD" w14:textId="13F0CFCA" w:rsidR="001E16AE" w:rsidRPr="003B1467" w:rsidRDefault="001E16AE" w:rsidP="001E16AE">
      <w:pPr>
        <w:spacing w:before="120" w:after="120"/>
      </w:pPr>
      <w:r>
        <w:t xml:space="preserve">The risk is that the conflict </w:t>
      </w:r>
      <w:r w:rsidR="00212DCC">
        <w:t xml:space="preserve">in the middle east </w:t>
      </w:r>
      <w:r>
        <w:t>may escalate and involve neighbours which could then inflame the situation. While this situation continues</w:t>
      </w:r>
      <w:r w:rsidR="00E7618A">
        <w:t xml:space="preserve"> and further sanctions are introduced</w:t>
      </w:r>
      <w:r>
        <w:t xml:space="preserve">, investors will be </w:t>
      </w:r>
      <w:r w:rsidR="007C64CC">
        <w:t>cautious</w:t>
      </w:r>
      <w:r>
        <w:t xml:space="preserve"> </w:t>
      </w:r>
      <w:r w:rsidR="00B02125">
        <w:t xml:space="preserve">around exposure to </w:t>
      </w:r>
      <w:r w:rsidR="007145A7">
        <w:t>Europe, oil,</w:t>
      </w:r>
      <w:r w:rsidR="00B02125">
        <w:t xml:space="preserve"> and gas, </w:t>
      </w:r>
      <w:r>
        <w:t>however an</w:t>
      </w:r>
      <w:r w:rsidR="003B1467">
        <w:t>y</w:t>
      </w:r>
      <w:r>
        <w:t xml:space="preserve"> fall in </w:t>
      </w:r>
      <w:r w:rsidR="007C64CC">
        <w:t xml:space="preserve">interest rates will spur buying in </w:t>
      </w:r>
      <w:r>
        <w:t xml:space="preserve">asset </w:t>
      </w:r>
      <w:r w:rsidR="007C64CC">
        <w:t>classes that have been oversold in recent months (property</w:t>
      </w:r>
      <w:r w:rsidR="003B1467">
        <w:t xml:space="preserve"> -</w:t>
      </w:r>
      <w:r w:rsidR="003B1467">
        <w:rPr>
          <w:b/>
          <w:bCs/>
        </w:rPr>
        <w:t xml:space="preserve"> </w:t>
      </w:r>
      <w:r w:rsidR="003B1467" w:rsidRPr="003B1467">
        <w:t>this may prove to be premature as property valuations</w:t>
      </w:r>
      <w:r w:rsidR="0076645B">
        <w:t xml:space="preserve">, mainly office, </w:t>
      </w:r>
      <w:r w:rsidR="003B1467" w:rsidRPr="003B1467">
        <w:t>come June 30 may be impacted).</w:t>
      </w:r>
    </w:p>
    <w:p w14:paraId="4D2D3182" w14:textId="575279C1" w:rsidR="00201A4D" w:rsidRDefault="0089672B" w:rsidP="001E16AE">
      <w:pPr>
        <w:spacing w:before="120" w:after="120"/>
      </w:pPr>
      <w:r>
        <w:t xml:space="preserve">Consumption </w:t>
      </w:r>
      <w:r w:rsidR="00B04D6E">
        <w:t xml:space="preserve">is </w:t>
      </w:r>
      <w:r w:rsidR="00497862">
        <w:t xml:space="preserve">marking time </w:t>
      </w:r>
      <w:r w:rsidR="003B1467">
        <w:t xml:space="preserve">with retail sales in Australia </w:t>
      </w:r>
      <w:r w:rsidR="00497862">
        <w:t>ris</w:t>
      </w:r>
      <w:r w:rsidR="00074A1A">
        <w:t>ing</w:t>
      </w:r>
      <w:r w:rsidR="003B1467">
        <w:t xml:space="preserve"> by </w:t>
      </w:r>
      <w:r w:rsidR="00497862">
        <w:t xml:space="preserve">a weak </w:t>
      </w:r>
      <w:r w:rsidR="00984AC0">
        <w:t>(</w:t>
      </w:r>
      <w:r w:rsidR="00497862">
        <w:t>+0.1</w:t>
      </w:r>
      <w:r w:rsidR="00074A1A">
        <w:t>%</w:t>
      </w:r>
      <w:r w:rsidR="00984AC0">
        <w:t>)</w:t>
      </w:r>
      <w:r w:rsidR="003B1467">
        <w:t xml:space="preserve"> in </w:t>
      </w:r>
      <w:r w:rsidR="00497862">
        <w:t>April</w:t>
      </w:r>
      <w:r w:rsidR="003B1467">
        <w:t xml:space="preserve"> 2024 </w:t>
      </w:r>
      <w:r w:rsidR="00B04D6E">
        <w:t xml:space="preserve">which </w:t>
      </w:r>
      <w:r w:rsidR="00497862">
        <w:t>will</w:t>
      </w:r>
      <w:r w:rsidR="00B02125">
        <w:t xml:space="preserve"> </w:t>
      </w:r>
      <w:r w:rsidR="00074A1A">
        <w:t xml:space="preserve">impacting company profit expectations </w:t>
      </w:r>
      <w:r>
        <w:t>in the short-term</w:t>
      </w:r>
      <w:r w:rsidR="00984AC0">
        <w:t>.</w:t>
      </w:r>
      <w:r w:rsidR="00D74275">
        <w:t xml:space="preserve"> </w:t>
      </w:r>
    </w:p>
    <w:p w14:paraId="6B8750FC" w14:textId="7865B5F0" w:rsidR="007C64CC" w:rsidRDefault="00BE0AFA" w:rsidP="00F6077E">
      <w:r>
        <w:t xml:space="preserve">The </w:t>
      </w:r>
      <w:r w:rsidRPr="00DD3CC2">
        <w:rPr>
          <w:b/>
          <w:bCs/>
        </w:rPr>
        <w:t>medium-term view remains</w:t>
      </w:r>
      <w:r w:rsidRPr="00BE0AFA">
        <w:rPr>
          <w:b/>
          <w:bCs/>
        </w:rPr>
        <w:t xml:space="preserve"> positive</w:t>
      </w:r>
      <w:r>
        <w:t xml:space="preserve"> for returns overall although headwinds </w:t>
      </w:r>
      <w:r w:rsidR="00700656">
        <w:t>will prevail</w:t>
      </w:r>
      <w:r w:rsidR="007C64CC">
        <w:t xml:space="preserve">, now that the US Fed has effectively </w:t>
      </w:r>
      <w:r w:rsidR="007C64CC" w:rsidRPr="007C64CC">
        <w:rPr>
          <w:b/>
          <w:bCs/>
        </w:rPr>
        <w:t>signalled a pivot for their interest rates</w:t>
      </w:r>
      <w:r w:rsidR="007C64CC">
        <w:t xml:space="preserve">, this is a strong indicator for </w:t>
      </w:r>
      <w:r w:rsidR="00296984">
        <w:t xml:space="preserve">interest rate </w:t>
      </w:r>
      <w:r w:rsidR="00F42D58">
        <w:t>expectations</w:t>
      </w:r>
      <w:r w:rsidR="007C64CC">
        <w:t xml:space="preserve"> and clear a path </w:t>
      </w:r>
      <w:r w:rsidR="000678F3">
        <w:t xml:space="preserve">going </w:t>
      </w:r>
      <w:r w:rsidR="007C64CC">
        <w:t>forward for investors.</w:t>
      </w:r>
    </w:p>
    <w:p w14:paraId="024D1376" w14:textId="3DCAC1AE" w:rsidR="00524F93" w:rsidRDefault="00524F93" w:rsidP="00524F93">
      <w:r w:rsidRPr="00524F93">
        <w:rPr>
          <w:b/>
          <w:bCs/>
        </w:rPr>
        <w:t xml:space="preserve">Longer term </w:t>
      </w:r>
      <w:r w:rsidR="0089672B">
        <w:rPr>
          <w:b/>
          <w:bCs/>
        </w:rPr>
        <w:t>investors</w:t>
      </w:r>
      <w:r w:rsidRPr="00524F93">
        <w:rPr>
          <w:b/>
          <w:bCs/>
        </w:rPr>
        <w:t xml:space="preserve"> </w:t>
      </w:r>
      <w:r w:rsidR="007C64CC">
        <w:rPr>
          <w:b/>
          <w:bCs/>
        </w:rPr>
        <w:t xml:space="preserve">are </w:t>
      </w:r>
      <w:r w:rsidRPr="009D5414">
        <w:rPr>
          <w:b/>
          <w:bCs/>
        </w:rPr>
        <w:t>optimistic</w:t>
      </w:r>
      <w:r>
        <w:t xml:space="preserve"> for a goldilocks period ahead. Global Central Banks continue to indicate a resolve to get inflation under control however, the economic data is showing signs of </w:t>
      </w:r>
      <w:r w:rsidR="005F6840">
        <w:t xml:space="preserve">an </w:t>
      </w:r>
      <w:r w:rsidR="004E1C4A">
        <w:t>easing</w:t>
      </w:r>
      <w:r>
        <w:t xml:space="preserve"> </w:t>
      </w:r>
      <w:r w:rsidR="005F6840">
        <w:t xml:space="preserve">in </w:t>
      </w:r>
      <w:r>
        <w:t>inflation</w:t>
      </w:r>
      <w:r w:rsidR="007C64CC">
        <w:t xml:space="preserve"> and every indication is for future easing in monetary policy expectations for the latter part of 2024. Remember </w:t>
      </w:r>
      <w:r w:rsidR="007C64CC" w:rsidRPr="007C64CC">
        <w:rPr>
          <w:b/>
          <w:bCs/>
        </w:rPr>
        <w:t>markets are forward looking</w:t>
      </w:r>
      <w:r w:rsidR="007C64CC">
        <w:t xml:space="preserve"> so the support now is reflecting the expectations for conditions in </w:t>
      </w:r>
      <w:r w:rsidR="00497862">
        <w:t>Febr</w:t>
      </w:r>
      <w:r w:rsidR="00984AC0">
        <w:t>uary</w:t>
      </w:r>
      <w:r w:rsidR="007C64CC">
        <w:t xml:space="preserve"> 202</w:t>
      </w:r>
      <w:r w:rsidR="00984AC0">
        <w:t>5</w:t>
      </w:r>
      <w:r w:rsidR="007C64CC">
        <w:t>.</w:t>
      </w:r>
      <w:r>
        <w:t xml:space="preserve"> </w:t>
      </w:r>
    </w:p>
    <w:p w14:paraId="6F8EECA2" w14:textId="0D29F544" w:rsidR="00025089" w:rsidRPr="00025089" w:rsidRDefault="00025089" w:rsidP="008614EE">
      <w:pPr>
        <w:spacing w:before="120" w:after="120" w:line="240" w:lineRule="auto"/>
        <w:rPr>
          <w:b/>
          <w:bCs/>
        </w:rPr>
      </w:pPr>
      <w:r w:rsidRPr="00025089">
        <w:rPr>
          <w:b/>
          <w:bCs/>
        </w:rPr>
        <w:t xml:space="preserve">The following commentary is based on month-end closing prices as </w:t>
      </w:r>
      <w:r w:rsidR="00E97818" w:rsidRPr="00025089">
        <w:rPr>
          <w:b/>
          <w:bCs/>
        </w:rPr>
        <w:t>of</w:t>
      </w:r>
      <w:r w:rsidRPr="00025089">
        <w:rPr>
          <w:b/>
          <w:bCs/>
        </w:rPr>
        <w:t xml:space="preserve"> </w:t>
      </w:r>
      <w:r w:rsidR="00FA1935">
        <w:rPr>
          <w:b/>
          <w:bCs/>
        </w:rPr>
        <w:t>3</w:t>
      </w:r>
      <w:r w:rsidR="00497862">
        <w:rPr>
          <w:b/>
          <w:bCs/>
        </w:rPr>
        <w:t>1</w:t>
      </w:r>
      <w:r w:rsidR="00497862" w:rsidRPr="00497862">
        <w:rPr>
          <w:b/>
          <w:bCs/>
          <w:vertAlign w:val="superscript"/>
        </w:rPr>
        <w:t>st</w:t>
      </w:r>
      <w:r w:rsidR="00497862">
        <w:rPr>
          <w:b/>
          <w:bCs/>
        </w:rPr>
        <w:t xml:space="preserve"> May</w:t>
      </w:r>
      <w:r w:rsidRPr="00025089">
        <w:rPr>
          <w:b/>
          <w:bCs/>
        </w:rPr>
        <w:t xml:space="preserve"> </w:t>
      </w:r>
      <w:r w:rsidR="002F0E91" w:rsidRPr="00025089">
        <w:rPr>
          <w:b/>
          <w:bCs/>
        </w:rPr>
        <w:t>202</w:t>
      </w:r>
      <w:r w:rsidR="00FA390E">
        <w:rPr>
          <w:b/>
          <w:bCs/>
        </w:rPr>
        <w:t>4</w:t>
      </w:r>
      <w:r w:rsidR="00181027">
        <w:rPr>
          <w:b/>
          <w:bCs/>
        </w:rPr>
        <w:t>:</w:t>
      </w:r>
      <w:r w:rsidRPr="00025089">
        <w:rPr>
          <w:b/>
          <w:bCs/>
        </w:rPr>
        <w:t xml:space="preserve"> </w:t>
      </w:r>
    </w:p>
    <w:p w14:paraId="6A0D8148" w14:textId="5985B365" w:rsidR="00B02125" w:rsidRDefault="007B239A" w:rsidP="009E7EF6">
      <w:pPr>
        <w:spacing w:before="120" w:after="120" w:line="240" w:lineRule="auto"/>
      </w:pPr>
      <w:r w:rsidRPr="00F90325">
        <w:t xml:space="preserve">Global </w:t>
      </w:r>
      <w:r w:rsidR="00F82AE9">
        <w:t xml:space="preserve">markets </w:t>
      </w:r>
      <w:r w:rsidR="00BE2D43">
        <w:t xml:space="preserve">bounced higher </w:t>
      </w:r>
      <w:r w:rsidR="00FA390E">
        <w:t xml:space="preserve">over </w:t>
      </w:r>
      <w:r w:rsidR="00BE2D43">
        <w:t>May</w:t>
      </w:r>
      <w:r w:rsidR="00FA390E">
        <w:t xml:space="preserve"> as </w:t>
      </w:r>
      <w:r w:rsidR="00200F95">
        <w:t>s</w:t>
      </w:r>
      <w:r w:rsidR="006820B4">
        <w:t>everal</w:t>
      </w:r>
      <w:r w:rsidR="00200F95">
        <w:t xml:space="preserve"> Central Banks decided to ease their target cash rates to encourage their economic growth prospects. D</w:t>
      </w:r>
      <w:r w:rsidR="00B02125">
        <w:t xml:space="preserve">ebt markets </w:t>
      </w:r>
      <w:r w:rsidR="00200F95">
        <w:t>rallied however, not strongly as they are cautious about the pace of future easing’s</w:t>
      </w:r>
      <w:r w:rsidR="00B02125">
        <w:t xml:space="preserve">. </w:t>
      </w:r>
    </w:p>
    <w:p w14:paraId="008F3DBF" w14:textId="2B737473" w:rsidR="00C96DD8" w:rsidRDefault="00200F95" w:rsidP="009E7EF6">
      <w:pPr>
        <w:spacing w:before="120" w:after="120" w:line="240" w:lineRule="auto"/>
      </w:pPr>
      <w:r>
        <w:t xml:space="preserve">Global </w:t>
      </w:r>
      <w:r w:rsidR="00C96DD8">
        <w:t>I</w:t>
      </w:r>
      <w:r w:rsidR="00C96DD8" w:rsidRPr="00C96DD8">
        <w:t xml:space="preserve">nfrastructure companies </w:t>
      </w:r>
      <w:r>
        <w:t xml:space="preserve">rebounded strongly as </w:t>
      </w:r>
      <w:r w:rsidR="008261BB">
        <w:t xml:space="preserve">they </w:t>
      </w:r>
      <w:r w:rsidR="00C96DD8" w:rsidRPr="00C96DD8">
        <w:t xml:space="preserve">are </w:t>
      </w:r>
      <w:r w:rsidR="00A3418C">
        <w:t>in a b</w:t>
      </w:r>
      <w:r w:rsidR="00A3418C" w:rsidRPr="00C96DD8">
        <w:t>etter</w:t>
      </w:r>
      <w:r w:rsidR="00C96DD8" w:rsidRPr="00C96DD8">
        <w:t xml:space="preserve"> position to retain margins compared to most general market equities, given that not only interest costs, but also other operating cost items, </w:t>
      </w:r>
      <w:r w:rsidR="00A3418C">
        <w:t xml:space="preserve">may be </w:t>
      </w:r>
      <w:r w:rsidR="00C96DD8" w:rsidRPr="00C96DD8">
        <w:t>considered “pass-through” within a regulatory construct</w:t>
      </w:r>
      <w:r w:rsidR="00C96DD8">
        <w:t xml:space="preserve"> so costs simply flow through to users</w:t>
      </w:r>
      <w:r w:rsidR="00C96DD8" w:rsidRPr="00C96DD8">
        <w:t>.</w:t>
      </w:r>
      <w:r w:rsidR="00C96DD8">
        <w:t xml:space="preserve"> </w:t>
      </w:r>
    </w:p>
    <w:p w14:paraId="4D1ADF38" w14:textId="07472D8F" w:rsidR="00BD000B" w:rsidRDefault="00F3465F" w:rsidP="009E7EF6">
      <w:pPr>
        <w:spacing w:before="120" w:after="120" w:line="240" w:lineRule="auto"/>
      </w:pPr>
      <w:r>
        <w:t>T</w:t>
      </w:r>
      <w:r w:rsidR="00BC034A">
        <w:t>he</w:t>
      </w:r>
      <w:r w:rsidR="00D76073">
        <w:t xml:space="preserve"> situation in</w:t>
      </w:r>
      <w:r>
        <w:t xml:space="preserve"> Russia/Ukraine </w:t>
      </w:r>
      <w:r w:rsidR="00BC034A">
        <w:t>conflict</w:t>
      </w:r>
      <w:r w:rsidR="00D76073">
        <w:t xml:space="preserve"> remains unchanged </w:t>
      </w:r>
      <w:r w:rsidR="00403EC7">
        <w:t xml:space="preserve">however </w:t>
      </w:r>
      <w:r w:rsidR="00802E86">
        <w:t>the latest conflict between Israel and H</w:t>
      </w:r>
      <w:r w:rsidR="008F5026">
        <w:t>a</w:t>
      </w:r>
      <w:r w:rsidR="00802E86">
        <w:t xml:space="preserve">mas </w:t>
      </w:r>
      <w:r w:rsidR="005200E9">
        <w:t>has prompted investors</w:t>
      </w:r>
      <w:r w:rsidR="00816F91">
        <w:t xml:space="preserve"> to avoid that region</w:t>
      </w:r>
      <w:r w:rsidR="005200E9">
        <w:t xml:space="preserve">. </w:t>
      </w:r>
      <w:r w:rsidR="00403EC7">
        <w:t>U</w:t>
      </w:r>
      <w:r w:rsidR="00B700A9">
        <w:t>nfortunately,</w:t>
      </w:r>
      <w:r w:rsidR="00F24335">
        <w:t xml:space="preserve"> a resolution </w:t>
      </w:r>
      <w:r w:rsidR="0025751D">
        <w:t xml:space="preserve">to the </w:t>
      </w:r>
      <w:r w:rsidR="005200E9">
        <w:t xml:space="preserve">regional conflict </w:t>
      </w:r>
      <w:r w:rsidR="00B700A9">
        <w:t>is</w:t>
      </w:r>
      <w:r w:rsidR="00F24335">
        <w:t xml:space="preserve"> a way off </w:t>
      </w:r>
      <w:r w:rsidR="00F86040">
        <w:t>currently</w:t>
      </w:r>
      <w:r w:rsidR="00D7423A">
        <w:t xml:space="preserve"> however, the underlying economies </w:t>
      </w:r>
      <w:r w:rsidR="005200E9">
        <w:t xml:space="preserve">elsewhere </w:t>
      </w:r>
      <w:r w:rsidR="00D7423A">
        <w:t xml:space="preserve">are emerging </w:t>
      </w:r>
      <w:r w:rsidR="005200E9">
        <w:t xml:space="preserve">with a more growth orientated momentum </w:t>
      </w:r>
      <w:r w:rsidR="00D7423A">
        <w:t xml:space="preserve">after such </w:t>
      </w:r>
      <w:r w:rsidR="00216D19">
        <w:t>an extended period</w:t>
      </w:r>
      <w:r w:rsidR="00D7423A">
        <w:t xml:space="preserve"> of uncertainty.</w:t>
      </w:r>
    </w:p>
    <w:p w14:paraId="597D381A" w14:textId="77777777" w:rsidR="007F4CD0" w:rsidRDefault="007F4CD0" w:rsidP="009E7EF6">
      <w:pPr>
        <w:spacing w:before="120" w:after="120" w:line="240" w:lineRule="auto"/>
      </w:pPr>
    </w:p>
    <w:p w14:paraId="14CE6A8A" w14:textId="7B27ABF3" w:rsidR="00CC2CB7" w:rsidRDefault="00E52572" w:rsidP="00CC2CB7">
      <w:pPr>
        <w:spacing w:before="0" w:after="0"/>
      </w:pPr>
      <w:bookmarkStart w:id="2" w:name="_Hlk69241500"/>
      <w:r>
        <w:lastRenderedPageBreak/>
        <w:t xml:space="preserve">As mentioned, the Fed </w:t>
      </w:r>
      <w:r w:rsidR="005200E9">
        <w:t xml:space="preserve">left the </w:t>
      </w:r>
      <w:r w:rsidR="00677BFA">
        <w:t xml:space="preserve">target cash rates </w:t>
      </w:r>
      <w:r w:rsidR="005200E9">
        <w:t>at</w:t>
      </w:r>
      <w:r>
        <w:t xml:space="preserve"> </w:t>
      </w:r>
      <w:r w:rsidR="00D53B5C" w:rsidRPr="00220A49">
        <w:rPr>
          <w:b/>
          <w:bCs/>
        </w:rPr>
        <w:t>5</w:t>
      </w:r>
      <w:r w:rsidR="00C50B00" w:rsidRPr="00220A49">
        <w:rPr>
          <w:b/>
          <w:bCs/>
        </w:rPr>
        <w:t>.</w:t>
      </w:r>
      <w:r w:rsidR="006D7EB3" w:rsidRPr="00220A49">
        <w:rPr>
          <w:b/>
          <w:bCs/>
        </w:rPr>
        <w:t>25</w:t>
      </w:r>
      <w:r w:rsidR="00257621" w:rsidRPr="00220A49">
        <w:rPr>
          <w:b/>
          <w:bCs/>
        </w:rPr>
        <w:t>%</w:t>
      </w:r>
      <w:r w:rsidR="00C50B00" w:rsidRPr="00220A49">
        <w:rPr>
          <w:b/>
          <w:bCs/>
        </w:rPr>
        <w:t xml:space="preserve"> </w:t>
      </w:r>
      <w:r w:rsidRPr="00220A49">
        <w:rPr>
          <w:b/>
          <w:bCs/>
        </w:rPr>
        <w:t>-</w:t>
      </w:r>
      <w:r w:rsidR="00C50B00" w:rsidRPr="00220A49">
        <w:rPr>
          <w:b/>
          <w:bCs/>
        </w:rPr>
        <w:t xml:space="preserve"> </w:t>
      </w:r>
      <w:r w:rsidR="00084D8F" w:rsidRPr="00220A49">
        <w:rPr>
          <w:b/>
          <w:bCs/>
        </w:rPr>
        <w:t>5</w:t>
      </w:r>
      <w:r w:rsidR="00D53B5C" w:rsidRPr="00220A49">
        <w:rPr>
          <w:b/>
          <w:bCs/>
        </w:rPr>
        <w:t>.</w:t>
      </w:r>
      <w:r w:rsidR="00C50B00" w:rsidRPr="00220A49">
        <w:rPr>
          <w:b/>
          <w:bCs/>
        </w:rPr>
        <w:t>5</w:t>
      </w:r>
      <w:r w:rsidR="006D7EB3" w:rsidRPr="00220A49">
        <w:rPr>
          <w:b/>
          <w:bCs/>
        </w:rPr>
        <w:t>0</w:t>
      </w:r>
      <w:r w:rsidRPr="00220A49">
        <w:rPr>
          <w:b/>
          <w:bCs/>
        </w:rPr>
        <w:t>%</w:t>
      </w:r>
      <w:r>
        <w:t xml:space="preserve"> </w:t>
      </w:r>
      <w:r w:rsidR="0008740E">
        <w:t>on</w:t>
      </w:r>
      <w:r w:rsidR="00C50B00">
        <w:t xml:space="preserve"> the </w:t>
      </w:r>
      <w:r w:rsidR="00F7687B">
        <w:t>1</w:t>
      </w:r>
      <w:r w:rsidR="00200F95">
        <w:t>2</w:t>
      </w:r>
      <w:r w:rsidR="00200F95" w:rsidRPr="00200F95">
        <w:rPr>
          <w:vertAlign w:val="superscript"/>
        </w:rPr>
        <w:t>th</w:t>
      </w:r>
      <w:r w:rsidR="00200F95">
        <w:t xml:space="preserve"> </w:t>
      </w:r>
      <w:r w:rsidR="0054112A" w:rsidRPr="0054112A">
        <w:rPr>
          <w:vertAlign w:val="superscript"/>
        </w:rPr>
        <w:t>of</w:t>
      </w:r>
      <w:r w:rsidR="0054112A">
        <w:t xml:space="preserve"> </w:t>
      </w:r>
      <w:r w:rsidR="00200F95">
        <w:t>June</w:t>
      </w:r>
      <w:r w:rsidR="00A672C2">
        <w:t xml:space="preserve"> 2</w:t>
      </w:r>
      <w:r>
        <w:t>02</w:t>
      </w:r>
      <w:r w:rsidR="00FC10EC">
        <w:t>4</w:t>
      </w:r>
      <w:r>
        <w:t xml:space="preserve"> FOMC meeting</w:t>
      </w:r>
      <w:r w:rsidR="00CC2CB7">
        <w:t>:</w:t>
      </w:r>
    </w:p>
    <w:p w14:paraId="0D143164" w14:textId="34652413" w:rsidR="00A9793C" w:rsidRDefault="00CC2CB7" w:rsidP="00F7687B">
      <w:pPr>
        <w:spacing w:before="0" w:after="0"/>
        <w:ind w:left="720"/>
        <w:rPr>
          <w:i/>
          <w:iCs/>
        </w:rPr>
      </w:pPr>
      <w:r w:rsidRPr="00CC2CB7">
        <w:rPr>
          <w:i/>
          <w:iCs/>
        </w:rPr>
        <w:t>“</w:t>
      </w:r>
      <w:r w:rsidR="00A9793C" w:rsidRPr="00A9793C">
        <w:rPr>
          <w:i/>
          <w:iCs/>
        </w:rPr>
        <w:t>The Committee seeks to achieve maximum employment and inflation at the rate of 2 percent over the longer run. The Committee judges that the risks to achieving its employment and inflation goals have moved toward better balance over the past year. The economic outlook is uncertain, and the Committee remains highly attentive to inflation risks</w:t>
      </w:r>
      <w:r w:rsidR="006820B4">
        <w:rPr>
          <w:i/>
          <w:iCs/>
        </w:rPr>
        <w:t>.”</w:t>
      </w:r>
    </w:p>
    <w:p w14:paraId="059FCA8D" w14:textId="6D97304D" w:rsidR="00A9793C" w:rsidRDefault="00A9793C" w:rsidP="00F7687B">
      <w:pPr>
        <w:spacing w:before="0" w:after="0"/>
        <w:ind w:left="720"/>
        <w:rPr>
          <w:i/>
          <w:iCs/>
        </w:rPr>
      </w:pPr>
      <w:r w:rsidRPr="00A9793C">
        <w:rPr>
          <w:i/>
          <w:iCs/>
        </w:rPr>
        <w:t xml:space="preserve">(Source: Federal Reserve Press Release </w:t>
      </w:r>
      <w:r>
        <w:rPr>
          <w:i/>
          <w:iCs/>
        </w:rPr>
        <w:t>June</w:t>
      </w:r>
      <w:r w:rsidRPr="00A9793C">
        <w:rPr>
          <w:i/>
          <w:iCs/>
        </w:rPr>
        <w:t xml:space="preserve"> 1</w:t>
      </w:r>
      <w:r>
        <w:rPr>
          <w:i/>
          <w:iCs/>
        </w:rPr>
        <w:t>2</w:t>
      </w:r>
      <w:r w:rsidRPr="00A9793C">
        <w:rPr>
          <w:i/>
          <w:iCs/>
        </w:rPr>
        <w:t>, 2024).</w:t>
      </w:r>
    </w:p>
    <w:p w14:paraId="0F469910" w14:textId="77777777" w:rsidR="00A9793C" w:rsidRDefault="00A9793C" w:rsidP="00FC10EC">
      <w:pPr>
        <w:spacing w:before="0" w:after="0"/>
        <w:ind w:left="720"/>
        <w:rPr>
          <w:i/>
          <w:iCs/>
        </w:rPr>
      </w:pPr>
    </w:p>
    <w:p w14:paraId="0462C83D" w14:textId="45786ADD" w:rsidR="00A672C2" w:rsidRPr="00A9793C" w:rsidRDefault="00A9793C" w:rsidP="00FC10EC">
      <w:pPr>
        <w:spacing w:before="0" w:after="0"/>
        <w:ind w:left="720"/>
        <w:rPr>
          <w:rFonts w:ascii="Calibri" w:hAnsi="Calibri" w:cs="Calibri"/>
          <w:color w:val="222222"/>
          <w:sz w:val="24"/>
          <w:szCs w:val="24"/>
          <w:shd w:val="clear" w:color="auto" w:fill="FFFFFF"/>
        </w:rPr>
      </w:pPr>
      <w:r w:rsidRPr="00A9793C">
        <w:t>As mentioned in the May 2024  statement,</w:t>
      </w:r>
      <w:r w:rsidR="00F7687B" w:rsidRPr="00A9793C">
        <w:t xml:space="preserve"> the Committee will continue reducing its holdings of </w:t>
      </w:r>
      <w:r w:rsidR="00F7687B" w:rsidRPr="00A9793C">
        <w:rPr>
          <w:b/>
          <w:bCs/>
        </w:rPr>
        <w:t>Treasury securities and agency debt and agency mortgage</w:t>
      </w:r>
      <w:r w:rsidR="00F7687B" w:rsidRPr="00A9793C">
        <w:rPr>
          <w:rFonts w:ascii="Cambria Math" w:hAnsi="Cambria Math" w:cs="Cambria Math"/>
          <w:b/>
          <w:bCs/>
        </w:rPr>
        <w:t>‑</w:t>
      </w:r>
      <w:r w:rsidR="00F7687B" w:rsidRPr="00A9793C">
        <w:rPr>
          <w:b/>
          <w:bCs/>
        </w:rPr>
        <w:t>backed securities</w:t>
      </w:r>
      <w:r w:rsidR="00F7687B" w:rsidRPr="00A9793C">
        <w:t xml:space="preserve">. Beginning in June, the Committee will slow the pace of decline of its securities holdings by reducing the monthly redemption cap on Treasury securities from </w:t>
      </w:r>
      <w:r w:rsidR="00F7687B" w:rsidRPr="00A9793C">
        <w:rPr>
          <w:b/>
          <w:bCs/>
        </w:rPr>
        <w:t>$60 billion to $25 billion</w:t>
      </w:r>
      <w:r w:rsidR="00F7687B" w:rsidRPr="00A9793C">
        <w:t>. The Committee will maintain the monthly redemption cap on agency debt and agency mortgage</w:t>
      </w:r>
      <w:r w:rsidR="00F7687B" w:rsidRPr="00A9793C">
        <w:rPr>
          <w:rFonts w:ascii="Cambria Math" w:hAnsi="Cambria Math" w:cs="Cambria Math"/>
        </w:rPr>
        <w:t>‑</w:t>
      </w:r>
      <w:r w:rsidR="00F7687B" w:rsidRPr="00A9793C">
        <w:t xml:space="preserve">backed securities at </w:t>
      </w:r>
      <w:r w:rsidR="00F7687B" w:rsidRPr="00A9793C">
        <w:rPr>
          <w:b/>
          <w:bCs/>
        </w:rPr>
        <w:t xml:space="preserve">$35 billion and will reinvest any principal payments </w:t>
      </w:r>
      <w:r w:rsidR="00784097" w:rsidRPr="00A9793C">
        <w:rPr>
          <w:b/>
          <w:bCs/>
        </w:rPr>
        <w:t>more than</w:t>
      </w:r>
      <w:r w:rsidR="00F7687B" w:rsidRPr="00A9793C">
        <w:rPr>
          <w:b/>
          <w:bCs/>
        </w:rPr>
        <w:t xml:space="preserve"> this cap</w:t>
      </w:r>
      <w:r w:rsidR="00F7687B" w:rsidRPr="00A9793C">
        <w:t xml:space="preserve"> into Treasury securities. The Committee is strongly committed to returning inflation to its 2 percent objective.</w:t>
      </w:r>
      <w:r w:rsidRPr="00A9793C">
        <w:t xml:space="preserve"> </w:t>
      </w:r>
      <w:r w:rsidR="00CC2CB7" w:rsidRPr="00A9793C">
        <w:t xml:space="preserve">(Source: Federal Reserve Press Release </w:t>
      </w:r>
      <w:r w:rsidR="0054112A" w:rsidRPr="00A9793C">
        <w:t>Ma</w:t>
      </w:r>
      <w:r w:rsidR="00F7687B" w:rsidRPr="00A9793C">
        <w:t>y</w:t>
      </w:r>
      <w:r w:rsidR="00CC2CB7" w:rsidRPr="00A9793C">
        <w:t xml:space="preserve"> </w:t>
      </w:r>
      <w:r w:rsidR="00F7687B" w:rsidRPr="00A9793C">
        <w:t>1</w:t>
      </w:r>
      <w:r w:rsidR="00CC2CB7" w:rsidRPr="00A9793C">
        <w:t>, 202</w:t>
      </w:r>
      <w:r w:rsidR="00FC10EC" w:rsidRPr="00A9793C">
        <w:t>4</w:t>
      </w:r>
      <w:r w:rsidR="00CC2CB7" w:rsidRPr="00A9793C">
        <w:t>).</w:t>
      </w:r>
    </w:p>
    <w:p w14:paraId="3F825683" w14:textId="5CA88FD2" w:rsidR="00257621" w:rsidRDefault="00257621" w:rsidP="00257621">
      <w:pPr>
        <w:autoSpaceDE w:val="0"/>
        <w:autoSpaceDN w:val="0"/>
        <w:adjustRightInd w:val="0"/>
        <w:spacing w:after="0" w:line="240" w:lineRule="auto"/>
      </w:pPr>
      <w:r>
        <w:t>Other measures agreed to at the Fed meeting include:</w:t>
      </w:r>
    </w:p>
    <w:p w14:paraId="38E6CE35" w14:textId="58FA554A" w:rsidR="00DF397C" w:rsidRDefault="00DF397C" w:rsidP="00257621">
      <w:pPr>
        <w:autoSpaceDE w:val="0"/>
        <w:autoSpaceDN w:val="0"/>
        <w:adjustRightInd w:val="0"/>
        <w:spacing w:after="0" w:line="240" w:lineRule="auto"/>
      </w:pPr>
      <w:r w:rsidRPr="00DF397C">
        <w:t xml:space="preserve">The much-anticipated Summary of Economic Projections (SEP) broadly met expectations with a higher inflation forecast for 2024 and less easing this year; The median FOMC member called </w:t>
      </w:r>
      <w:r w:rsidRPr="00DF397C">
        <w:rPr>
          <w:b/>
          <w:bCs/>
        </w:rPr>
        <w:t>for one 25 basis point cut by the end of this year and four 25 basis point cuts in 2025</w:t>
      </w:r>
      <w:r w:rsidRPr="00DF397C">
        <w:t>.</w:t>
      </w:r>
    </w:p>
    <w:bookmarkEnd w:id="2"/>
    <w:p w14:paraId="46234C0C" w14:textId="1B462699" w:rsidR="00DA22F2" w:rsidRPr="00DA22F2" w:rsidRDefault="00DA22F2" w:rsidP="00DA22F2">
      <w:pPr>
        <w:rPr>
          <w:rFonts w:cs="Calibri"/>
          <w:color w:val="222222"/>
          <w:sz w:val="24"/>
          <w:szCs w:val="24"/>
          <w:shd w:val="clear" w:color="auto" w:fill="FFFFFF"/>
        </w:rPr>
      </w:pPr>
      <w:r w:rsidRPr="00DA22F2">
        <w:rPr>
          <w:rFonts w:cs="Calibri"/>
          <w:b/>
          <w:bCs/>
          <w:color w:val="222222"/>
          <w:sz w:val="24"/>
          <w:szCs w:val="24"/>
          <w:shd w:val="clear" w:color="auto" w:fill="FFFFFF"/>
        </w:rPr>
        <w:t xml:space="preserve">The next Fed meeting is scheduled for </w:t>
      </w:r>
      <w:r w:rsidR="00175A6F">
        <w:rPr>
          <w:rFonts w:cs="Calibri"/>
          <w:b/>
          <w:bCs/>
          <w:color w:val="222222"/>
          <w:sz w:val="24"/>
          <w:szCs w:val="24"/>
          <w:shd w:val="clear" w:color="auto" w:fill="FFFFFF"/>
        </w:rPr>
        <w:t>30</w:t>
      </w:r>
      <w:r w:rsidR="00D44598">
        <w:rPr>
          <w:rFonts w:cs="Calibri"/>
          <w:b/>
          <w:bCs/>
          <w:color w:val="222222"/>
          <w:sz w:val="24"/>
          <w:szCs w:val="24"/>
          <w:shd w:val="clear" w:color="auto" w:fill="FFFFFF"/>
        </w:rPr>
        <w:t>/</w:t>
      </w:r>
      <w:r w:rsidR="00175A6F">
        <w:rPr>
          <w:rFonts w:cs="Calibri"/>
          <w:b/>
          <w:bCs/>
          <w:color w:val="222222"/>
          <w:sz w:val="24"/>
          <w:szCs w:val="24"/>
          <w:shd w:val="clear" w:color="auto" w:fill="FFFFFF"/>
        </w:rPr>
        <w:t>31</w:t>
      </w:r>
      <w:r w:rsidR="00D44598">
        <w:rPr>
          <w:rFonts w:cs="Calibri"/>
          <w:b/>
          <w:bCs/>
          <w:color w:val="222222"/>
          <w:sz w:val="24"/>
          <w:szCs w:val="24"/>
          <w:shd w:val="clear" w:color="auto" w:fill="FFFFFF"/>
        </w:rPr>
        <w:t xml:space="preserve"> </w:t>
      </w:r>
      <w:r w:rsidR="00F7687B">
        <w:rPr>
          <w:rFonts w:cs="Calibri"/>
          <w:b/>
          <w:bCs/>
          <w:color w:val="222222"/>
          <w:sz w:val="24"/>
          <w:szCs w:val="24"/>
          <w:shd w:val="clear" w:color="auto" w:fill="FFFFFF"/>
        </w:rPr>
        <w:t>Ju</w:t>
      </w:r>
      <w:r w:rsidR="00175A6F">
        <w:rPr>
          <w:rFonts w:cs="Calibri"/>
          <w:b/>
          <w:bCs/>
          <w:color w:val="222222"/>
          <w:sz w:val="24"/>
          <w:szCs w:val="24"/>
          <w:shd w:val="clear" w:color="auto" w:fill="FFFFFF"/>
        </w:rPr>
        <w:t>ly</w:t>
      </w:r>
      <w:r w:rsidR="00D44598">
        <w:rPr>
          <w:rFonts w:cs="Calibri"/>
          <w:b/>
          <w:bCs/>
          <w:color w:val="222222"/>
          <w:sz w:val="24"/>
          <w:szCs w:val="24"/>
          <w:shd w:val="clear" w:color="auto" w:fill="FFFFFF"/>
        </w:rPr>
        <w:t xml:space="preserve"> 2024</w:t>
      </w:r>
      <w:r w:rsidRPr="00DA22F2">
        <w:rPr>
          <w:rFonts w:cs="Calibri"/>
          <w:color w:val="222222"/>
          <w:sz w:val="24"/>
          <w:szCs w:val="24"/>
          <w:shd w:val="clear" w:color="auto" w:fill="FFFFFF"/>
        </w:rPr>
        <w:t>. Most officials see US interest rates ending at 5%-5.5%.</w:t>
      </w:r>
    </w:p>
    <w:p w14:paraId="246E64DC" w14:textId="5326D7BA" w:rsidR="00BC1541" w:rsidRPr="00BC1541" w:rsidRDefault="00BC1541" w:rsidP="009E7EF6">
      <w:pPr>
        <w:tabs>
          <w:tab w:val="left" w:pos="5520"/>
        </w:tabs>
        <w:spacing w:before="120" w:after="120" w:line="240" w:lineRule="auto"/>
        <w:rPr>
          <w:b/>
          <w:bCs/>
        </w:rPr>
      </w:pPr>
      <w:r w:rsidRPr="00BC1541">
        <w:rPr>
          <w:b/>
          <w:bCs/>
        </w:rPr>
        <w:t>Investor Focus</w:t>
      </w:r>
    </w:p>
    <w:p w14:paraId="4E857430" w14:textId="1E881FF5" w:rsidR="00E210AE" w:rsidRPr="00E210AE" w:rsidRDefault="00257621" w:rsidP="00E210AE">
      <w:pPr>
        <w:tabs>
          <w:tab w:val="left" w:pos="5520"/>
        </w:tabs>
        <w:spacing w:before="120" w:after="120" w:line="240" w:lineRule="auto"/>
      </w:pPr>
      <w:r w:rsidRPr="00DF397C">
        <w:rPr>
          <w:b/>
          <w:bCs/>
        </w:rPr>
        <w:t>For Australia</w:t>
      </w:r>
      <w:r>
        <w:t>, i</w:t>
      </w:r>
      <w:r w:rsidR="00CF1D42" w:rsidRPr="000B0D93">
        <w:t>nvestors</w:t>
      </w:r>
      <w:r w:rsidR="009E7EF6" w:rsidRPr="000B0D93">
        <w:t xml:space="preserve"> focus</w:t>
      </w:r>
      <w:r>
        <w:t>sed o</w:t>
      </w:r>
      <w:r w:rsidR="00E52572">
        <w:t>n</w:t>
      </w:r>
      <w:r w:rsidR="00BC1541">
        <w:t xml:space="preserve"> </w:t>
      </w:r>
      <w:r w:rsidR="00E52572">
        <w:t>the following</w:t>
      </w:r>
      <w:r w:rsidR="00790F5A">
        <w:t xml:space="preserve"> issues:</w:t>
      </w:r>
    </w:p>
    <w:p w14:paraId="1159AA1C" w14:textId="6733C169" w:rsidR="005200E9" w:rsidRDefault="00C52E4A" w:rsidP="007F4CD0">
      <w:pPr>
        <w:pStyle w:val="ListParagraph"/>
        <w:numPr>
          <w:ilvl w:val="0"/>
          <w:numId w:val="6"/>
        </w:numPr>
        <w:spacing w:before="0" w:after="0" w:line="276" w:lineRule="auto"/>
        <w:ind w:left="357" w:hanging="357"/>
      </w:pPr>
      <w:r w:rsidRPr="008261BB">
        <w:rPr>
          <w:b/>
          <w:bCs/>
        </w:rPr>
        <w:t>Cost of living expenses</w:t>
      </w:r>
      <w:r>
        <w:t xml:space="preserve"> and the impact on </w:t>
      </w:r>
      <w:r w:rsidRPr="00C52E4A">
        <w:rPr>
          <w:b/>
          <w:bCs/>
        </w:rPr>
        <w:t>consumer spending</w:t>
      </w:r>
      <w:r w:rsidR="00617146">
        <w:t>.</w:t>
      </w:r>
    </w:p>
    <w:p w14:paraId="71F71B01" w14:textId="3D499504" w:rsidR="00C52E4A" w:rsidRDefault="00C52E4A" w:rsidP="007F4CD0">
      <w:pPr>
        <w:pStyle w:val="ListParagraph"/>
        <w:numPr>
          <w:ilvl w:val="0"/>
          <w:numId w:val="6"/>
        </w:numPr>
        <w:spacing w:before="0" w:after="0" w:line="276" w:lineRule="auto"/>
        <w:ind w:left="357" w:hanging="357"/>
      </w:pPr>
      <w:r w:rsidRPr="00C52E4A">
        <w:rPr>
          <w:b/>
          <w:bCs/>
        </w:rPr>
        <w:t xml:space="preserve">Company </w:t>
      </w:r>
      <w:r w:rsidR="00711DF0">
        <w:rPr>
          <w:b/>
          <w:bCs/>
        </w:rPr>
        <w:t xml:space="preserve">results </w:t>
      </w:r>
      <w:r w:rsidR="00711DF0" w:rsidRPr="00711DF0">
        <w:t>post reporting season</w:t>
      </w:r>
      <w:r w:rsidR="00711DF0">
        <w:rPr>
          <w:b/>
          <w:bCs/>
        </w:rPr>
        <w:t>.</w:t>
      </w:r>
    </w:p>
    <w:p w14:paraId="78654FD1" w14:textId="6C059E03" w:rsidR="00C52E4A" w:rsidRDefault="00C52E4A" w:rsidP="007F4CD0">
      <w:pPr>
        <w:pStyle w:val="ListParagraph"/>
        <w:numPr>
          <w:ilvl w:val="0"/>
          <w:numId w:val="6"/>
        </w:numPr>
        <w:spacing w:before="0" w:after="0" w:line="276" w:lineRule="auto"/>
        <w:ind w:left="357" w:hanging="357"/>
      </w:pPr>
      <w:r>
        <w:t xml:space="preserve">The level of </w:t>
      </w:r>
      <w:r w:rsidRPr="00C52E4A">
        <w:rPr>
          <w:b/>
          <w:bCs/>
        </w:rPr>
        <w:t>interest rates</w:t>
      </w:r>
      <w:r>
        <w:t xml:space="preserve"> and the delicate position of the RBA given inflation </w:t>
      </w:r>
      <w:r w:rsidR="008261BB">
        <w:t>level</w:t>
      </w:r>
      <w:r>
        <w:t>.</w:t>
      </w:r>
    </w:p>
    <w:p w14:paraId="72D4FB61" w14:textId="203BC843" w:rsidR="00C52E4A" w:rsidRDefault="00C52E4A" w:rsidP="007F4CD0">
      <w:pPr>
        <w:pStyle w:val="ListParagraph"/>
        <w:numPr>
          <w:ilvl w:val="0"/>
          <w:numId w:val="6"/>
        </w:numPr>
        <w:spacing w:before="0" w:after="0" w:line="276" w:lineRule="auto"/>
        <w:ind w:left="357" w:hanging="357"/>
      </w:pPr>
      <w:r w:rsidRPr="00C52E4A">
        <w:rPr>
          <w:b/>
          <w:bCs/>
        </w:rPr>
        <w:t>Inflation</w:t>
      </w:r>
      <w:r>
        <w:t xml:space="preserve"> remains stubbornly high at </w:t>
      </w:r>
      <w:r w:rsidR="008261BB">
        <w:t>3.6</w:t>
      </w:r>
      <w:r>
        <w:t xml:space="preserve">% although easing from </w:t>
      </w:r>
      <w:r w:rsidR="009E18CB">
        <w:t>4</w:t>
      </w:r>
      <w:r w:rsidR="008261BB">
        <w:t>.1</w:t>
      </w:r>
      <w:r>
        <w:t xml:space="preserve">% in the </w:t>
      </w:r>
      <w:r w:rsidR="008261BB">
        <w:t>fourth</w:t>
      </w:r>
      <w:r>
        <w:t xml:space="preserve"> quarter of 2023 which although heading in the right direction, infers </w:t>
      </w:r>
      <w:r w:rsidRPr="00BF1CFC">
        <w:rPr>
          <w:b/>
          <w:bCs/>
        </w:rPr>
        <w:t>higher interest rates for longer</w:t>
      </w:r>
      <w:r>
        <w:t>.</w:t>
      </w:r>
    </w:p>
    <w:p w14:paraId="6E09E404" w14:textId="3FB9D436" w:rsidR="00711DF0" w:rsidRDefault="00220A49" w:rsidP="007F4CD0">
      <w:pPr>
        <w:pStyle w:val="ListParagraph"/>
        <w:numPr>
          <w:ilvl w:val="0"/>
          <w:numId w:val="6"/>
        </w:numPr>
        <w:spacing w:before="0" w:after="0" w:line="276" w:lineRule="auto"/>
        <w:ind w:left="357" w:hanging="357"/>
      </w:pPr>
      <w:r w:rsidRPr="00A87065">
        <w:rPr>
          <w:b/>
          <w:bCs/>
        </w:rPr>
        <w:t>China growth prospects</w:t>
      </w:r>
      <w:r>
        <w:t xml:space="preserve"> –</w:t>
      </w:r>
      <w:r w:rsidR="00A87065" w:rsidRPr="00A87065">
        <w:t xml:space="preserve"> The consensus forecast for Chinese growth next year is of about 4.5%. China’s policymakers might accept this as the new normal for the economy, just as they accepted the slowdown after 2012.</w:t>
      </w:r>
      <w:r w:rsidR="00A87065">
        <w:t xml:space="preserve"> </w:t>
      </w:r>
      <w:r w:rsidR="0005073D">
        <w:t>T</w:t>
      </w:r>
      <w:r w:rsidR="009E18CB">
        <w:t xml:space="preserve">he </w:t>
      </w:r>
      <w:r>
        <w:t xml:space="preserve">GDP </w:t>
      </w:r>
      <w:r w:rsidR="00301330">
        <w:t xml:space="preserve">annual </w:t>
      </w:r>
      <w:r>
        <w:t xml:space="preserve">growth rate </w:t>
      </w:r>
      <w:r w:rsidR="009E18CB">
        <w:t>r</w:t>
      </w:r>
      <w:r w:rsidR="0005073D">
        <w:t>ose</w:t>
      </w:r>
      <w:r w:rsidR="009E18CB">
        <w:t xml:space="preserve"> to</w:t>
      </w:r>
      <w:r w:rsidR="00301330">
        <w:t xml:space="preserve"> </w:t>
      </w:r>
      <w:r w:rsidR="009E18CB">
        <w:t>5.</w:t>
      </w:r>
      <w:r w:rsidR="008261BB">
        <w:t>3</w:t>
      </w:r>
      <w:r>
        <w:t xml:space="preserve">% </w:t>
      </w:r>
      <w:r w:rsidR="009C2C4E">
        <w:t xml:space="preserve">in </w:t>
      </w:r>
      <w:r w:rsidR="00617146">
        <w:t xml:space="preserve">the </w:t>
      </w:r>
      <w:r w:rsidR="009E18CB">
        <w:t>f</w:t>
      </w:r>
      <w:r w:rsidR="008261BB">
        <w:t>irst</w:t>
      </w:r>
      <w:r w:rsidR="00617146">
        <w:t xml:space="preserve"> quarter of 202</w:t>
      </w:r>
      <w:r w:rsidR="008261BB">
        <w:t>4</w:t>
      </w:r>
      <w:r w:rsidR="00617146">
        <w:t xml:space="preserve"> </w:t>
      </w:r>
      <w:r w:rsidR="009E18CB">
        <w:t>up</w:t>
      </w:r>
      <w:r>
        <w:t xml:space="preserve"> from </w:t>
      </w:r>
      <w:r w:rsidR="008261BB">
        <w:t>5</w:t>
      </w:r>
      <w:r w:rsidR="009E18CB">
        <w:t>.</w:t>
      </w:r>
      <w:r w:rsidR="008261BB">
        <w:t>2</w:t>
      </w:r>
      <w:r>
        <w:t>%</w:t>
      </w:r>
      <w:r w:rsidR="009C2C4E">
        <w:t xml:space="preserve"> previously.</w:t>
      </w:r>
      <w:r>
        <w:t xml:space="preserve"> </w:t>
      </w:r>
      <w:r w:rsidR="006820B4">
        <w:t>Let us</w:t>
      </w:r>
      <w:r w:rsidR="00A87065">
        <w:t xml:space="preserve"> hope the economy can sustain this level.</w:t>
      </w:r>
    </w:p>
    <w:p w14:paraId="05A30DBB" w14:textId="77777777" w:rsidR="00711DF0" w:rsidRDefault="00711DF0" w:rsidP="00711DF0">
      <w:pPr>
        <w:spacing w:before="0" w:after="0"/>
      </w:pPr>
    </w:p>
    <w:p w14:paraId="69CB473D" w14:textId="77777777" w:rsidR="00A87065" w:rsidRDefault="00A87065" w:rsidP="00711DF0">
      <w:pPr>
        <w:spacing w:before="0" w:after="0"/>
      </w:pPr>
    </w:p>
    <w:p w14:paraId="3F4A4874" w14:textId="77777777" w:rsidR="006742C4" w:rsidRDefault="006742C4" w:rsidP="00711DF0">
      <w:pPr>
        <w:spacing w:before="0" w:after="0"/>
      </w:pPr>
    </w:p>
    <w:p w14:paraId="46D6F0C5" w14:textId="568BE7C0" w:rsidR="009E7EF6" w:rsidRDefault="006C3294" w:rsidP="009E7EF6">
      <w:pPr>
        <w:pStyle w:val="Heading2"/>
        <w:rPr>
          <w:rFonts w:asciiTheme="minorHAnsi" w:eastAsiaTheme="minorEastAsia" w:hAnsiTheme="minorHAnsi" w:cstheme="minorBidi"/>
          <w:iCs w:val="0"/>
          <w:color w:val="414042" w:themeColor="text1"/>
          <w:sz w:val="22"/>
          <w:lang w:val="en-AU" w:bidi="ar-SA"/>
        </w:rPr>
      </w:pPr>
      <w:r>
        <w:rPr>
          <w:rFonts w:asciiTheme="minorHAnsi" w:eastAsiaTheme="minorEastAsia" w:hAnsiTheme="minorHAnsi" w:cstheme="minorBidi"/>
          <w:iCs w:val="0"/>
          <w:color w:val="414042" w:themeColor="text1"/>
          <w:sz w:val="22"/>
          <w:lang w:val="en-AU" w:bidi="ar-SA"/>
        </w:rPr>
        <w:lastRenderedPageBreak/>
        <w:t>A</w:t>
      </w:r>
      <w:r w:rsidR="009E7EF6" w:rsidRPr="002C183C">
        <w:rPr>
          <w:rFonts w:asciiTheme="minorHAnsi" w:eastAsiaTheme="minorEastAsia" w:hAnsiTheme="minorHAnsi" w:cstheme="minorBidi"/>
          <w:iCs w:val="0"/>
          <w:color w:val="414042" w:themeColor="text1"/>
          <w:sz w:val="22"/>
          <w:lang w:val="en-AU" w:bidi="ar-SA"/>
        </w:rPr>
        <w:t>sset Class Returns</w:t>
      </w:r>
    </w:p>
    <w:p w14:paraId="68C279E1" w14:textId="3110B0D9" w:rsidR="00171550" w:rsidRDefault="0010573F" w:rsidP="00761513">
      <w:r>
        <w:t xml:space="preserve">Returns across the various asset classes </w:t>
      </w:r>
      <w:r w:rsidR="00C5655B">
        <w:t xml:space="preserve">ended </w:t>
      </w:r>
      <w:r w:rsidR="002061AD">
        <w:t>mixed</w:t>
      </w:r>
      <w:r w:rsidR="00236F73">
        <w:t xml:space="preserve"> </w:t>
      </w:r>
      <w:r w:rsidR="0052476C">
        <w:t xml:space="preserve">over </w:t>
      </w:r>
      <w:r w:rsidR="00C5655B">
        <w:t>the month</w:t>
      </w:r>
      <w:r w:rsidR="004429BF">
        <w:t>:</w:t>
      </w:r>
    </w:p>
    <w:p w14:paraId="1E4CB68D" w14:textId="053F6C88" w:rsidR="00A16C57" w:rsidRDefault="00A87065" w:rsidP="00A16C57">
      <w:pPr>
        <w:jc w:val="center"/>
      </w:pPr>
      <w:r w:rsidRPr="00A87065">
        <w:rPr>
          <w:noProof/>
        </w:rPr>
        <w:drawing>
          <wp:inline distT="0" distB="0" distL="0" distR="0" wp14:anchorId="2889894F" wp14:editId="748DF6BB">
            <wp:extent cx="4524375" cy="3352800"/>
            <wp:effectExtent l="0" t="0" r="0" b="0"/>
            <wp:docPr id="597909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24375" cy="3352800"/>
                    </a:xfrm>
                    <a:prstGeom prst="rect">
                      <a:avLst/>
                    </a:prstGeom>
                    <a:noFill/>
                    <a:ln>
                      <a:noFill/>
                    </a:ln>
                  </pic:spPr>
                </pic:pic>
              </a:graphicData>
            </a:graphic>
          </wp:inline>
        </w:drawing>
      </w:r>
    </w:p>
    <w:p w14:paraId="65003F17" w14:textId="099686E8" w:rsidR="009E7EF6" w:rsidRPr="00A70A09" w:rsidRDefault="009E7EF6" w:rsidP="00A16C57">
      <w:pPr>
        <w:jc w:val="center"/>
        <w:rPr>
          <w:sz w:val="18"/>
        </w:rPr>
      </w:pPr>
      <w:r w:rsidRPr="00A70A09">
        <w:rPr>
          <w:sz w:val="18"/>
        </w:rPr>
        <w:t xml:space="preserve">Source data: Lonsec as </w:t>
      </w:r>
      <w:r w:rsidR="0023164B" w:rsidRPr="00A70A09">
        <w:rPr>
          <w:sz w:val="18"/>
        </w:rPr>
        <w:t>of</w:t>
      </w:r>
      <w:r w:rsidRPr="00A70A09">
        <w:rPr>
          <w:sz w:val="18"/>
        </w:rPr>
        <w:t xml:space="preserve"> </w:t>
      </w:r>
      <w:bookmarkStart w:id="3" w:name="_Hlk535352886"/>
      <w:r w:rsidR="00516171">
        <w:rPr>
          <w:sz w:val="18"/>
        </w:rPr>
        <w:t>3</w:t>
      </w:r>
      <w:r w:rsidR="00A87065">
        <w:rPr>
          <w:sz w:val="18"/>
        </w:rPr>
        <w:t>1</w:t>
      </w:r>
      <w:r w:rsidR="00A87065" w:rsidRPr="00A87065">
        <w:rPr>
          <w:sz w:val="18"/>
          <w:vertAlign w:val="superscript"/>
        </w:rPr>
        <w:t>st</w:t>
      </w:r>
      <w:r w:rsidR="00A87065">
        <w:rPr>
          <w:sz w:val="18"/>
        </w:rPr>
        <w:t xml:space="preserve"> May</w:t>
      </w:r>
      <w:r w:rsidR="00711DF0">
        <w:rPr>
          <w:sz w:val="18"/>
        </w:rPr>
        <w:t xml:space="preserve"> 2024</w:t>
      </w:r>
    </w:p>
    <w:bookmarkEnd w:id="3"/>
    <w:p w14:paraId="55813FFA" w14:textId="77777777"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Global Share Returns</w:t>
      </w:r>
    </w:p>
    <w:p w14:paraId="206A9790" w14:textId="778D7B1B" w:rsidR="008A4D67" w:rsidRDefault="00BE2741" w:rsidP="008A4D67">
      <w:pPr>
        <w:spacing w:before="120"/>
      </w:pPr>
      <w:r w:rsidRPr="00BE2741">
        <w:t>For share markets</w:t>
      </w:r>
      <w:r w:rsidR="00DD6C05">
        <w:t xml:space="preserve">, </w:t>
      </w:r>
      <w:r w:rsidR="00E51D44">
        <w:t xml:space="preserve">the </w:t>
      </w:r>
      <w:r w:rsidR="003824D8">
        <w:t xml:space="preserve">focus </w:t>
      </w:r>
      <w:r w:rsidR="00F65F3F">
        <w:t>re</w:t>
      </w:r>
      <w:r w:rsidR="002B61FC">
        <w:t xml:space="preserve">mains on </w:t>
      </w:r>
      <w:r w:rsidR="00B23557" w:rsidRPr="00752356">
        <w:rPr>
          <w:b/>
          <w:bCs/>
        </w:rPr>
        <w:t>inflation</w:t>
      </w:r>
      <w:r w:rsidR="003C5801">
        <w:rPr>
          <w:b/>
          <w:bCs/>
        </w:rPr>
        <w:t xml:space="preserve"> </w:t>
      </w:r>
      <w:r w:rsidR="003C5801" w:rsidRPr="003C5801">
        <w:t xml:space="preserve">and the </w:t>
      </w:r>
      <w:r w:rsidR="005738C3" w:rsidRPr="005738C3">
        <w:rPr>
          <w:b/>
          <w:bCs/>
        </w:rPr>
        <w:t xml:space="preserve">pace of </w:t>
      </w:r>
      <w:r w:rsidR="005738C3">
        <w:rPr>
          <w:b/>
          <w:bCs/>
        </w:rPr>
        <w:t xml:space="preserve">interest rate </w:t>
      </w:r>
      <w:r w:rsidR="005738C3" w:rsidRPr="005738C3">
        <w:rPr>
          <w:b/>
          <w:bCs/>
        </w:rPr>
        <w:t>easing</w:t>
      </w:r>
      <w:r w:rsidR="005738C3">
        <w:t xml:space="preserve"> for </w:t>
      </w:r>
      <w:r w:rsidR="003C5801" w:rsidRPr="003C5801">
        <w:t>Central Banks to</w:t>
      </w:r>
      <w:r w:rsidR="00C60EEF">
        <w:t xml:space="preserve"> look at </w:t>
      </w:r>
      <w:r w:rsidR="005738C3">
        <w:t>ov</w:t>
      </w:r>
      <w:r w:rsidR="00C60EEF">
        <w:t xml:space="preserve">er the longer </w:t>
      </w:r>
      <w:r w:rsidR="004273DE">
        <w:t>time</w:t>
      </w:r>
      <w:r w:rsidR="00C60EEF">
        <w:t xml:space="preserve"> </w:t>
      </w:r>
      <w:r w:rsidR="00937E69">
        <w:t xml:space="preserve">horizon </w:t>
      </w:r>
      <w:r w:rsidR="00C60EEF">
        <w:t xml:space="preserve">should inflation data continue to drift lower. </w:t>
      </w:r>
      <w:r w:rsidR="007343AC">
        <w:t>Unhedged g</w:t>
      </w:r>
      <w:r w:rsidR="00557108">
        <w:t xml:space="preserve">lobal shares </w:t>
      </w:r>
      <w:r w:rsidR="005738C3">
        <w:t>had returns reduced</w:t>
      </w:r>
      <w:r w:rsidR="0005073D">
        <w:t xml:space="preserve"> from a</w:t>
      </w:r>
      <w:r w:rsidR="005738C3">
        <w:t xml:space="preserve"> strengthening</w:t>
      </w:r>
      <w:r w:rsidR="004B2806">
        <w:t xml:space="preserve"> </w:t>
      </w:r>
      <w:r w:rsidR="00557108">
        <w:t>USD/AUD (0.</w:t>
      </w:r>
      <w:r w:rsidR="00F65F3F">
        <w:t>6</w:t>
      </w:r>
      <w:r w:rsidR="005738C3">
        <w:t>637 up</w:t>
      </w:r>
      <w:r w:rsidR="00557108">
        <w:t xml:space="preserve"> </w:t>
      </w:r>
      <w:r w:rsidR="007343AC">
        <w:t>from</w:t>
      </w:r>
      <w:r w:rsidR="00557108">
        <w:t xml:space="preserve"> 0.6</w:t>
      </w:r>
      <w:r w:rsidR="00711DF0">
        <w:t>5</w:t>
      </w:r>
      <w:r w:rsidR="005738C3">
        <w:t>25</w:t>
      </w:r>
      <w:r w:rsidR="00557108">
        <w:t xml:space="preserve">) which had </w:t>
      </w:r>
      <w:r w:rsidR="0083662A">
        <w:t>a</w:t>
      </w:r>
      <w:r w:rsidR="00557108">
        <w:t xml:space="preserve"> </w:t>
      </w:r>
      <w:r w:rsidR="005738C3">
        <w:t>nega</w:t>
      </w:r>
      <w:r w:rsidR="0005073D">
        <w:t>tive</w:t>
      </w:r>
      <w:r w:rsidR="00557108">
        <w:t xml:space="preserve"> impact of </w:t>
      </w:r>
      <w:r w:rsidR="00F65F3F">
        <w:t>(</w:t>
      </w:r>
      <w:r w:rsidR="005738C3">
        <w:t>-1.72</w:t>
      </w:r>
      <w:r w:rsidR="00F65F3F">
        <w:t xml:space="preserve">%) </w:t>
      </w:r>
      <w:r w:rsidR="0005073D">
        <w:t>i</w:t>
      </w:r>
      <w:r w:rsidR="00557108">
        <w:t xml:space="preserve">n </w:t>
      </w:r>
      <w:r w:rsidR="001D6939">
        <w:t xml:space="preserve">AUD </w:t>
      </w:r>
      <w:r w:rsidR="00557108">
        <w:t>returns over the month</w:t>
      </w:r>
      <w:r w:rsidR="00EB2B42">
        <w:t xml:space="preserve"> for unhedged investors</w:t>
      </w:r>
      <w:r w:rsidR="00557108">
        <w:t>.</w:t>
      </w:r>
      <w:r w:rsidR="007B7DEB">
        <w:t xml:space="preserve"> </w:t>
      </w:r>
    </w:p>
    <w:p w14:paraId="648D3E7C" w14:textId="1C6138FB" w:rsidR="008A4D67" w:rsidRDefault="00F65F3F" w:rsidP="008A4D67">
      <w:pPr>
        <w:spacing w:before="120"/>
      </w:pPr>
      <w:r>
        <w:t xml:space="preserve">The markets are </w:t>
      </w:r>
      <w:r w:rsidR="0005073D">
        <w:t xml:space="preserve">reacting to the latest interest rate moves however, they are fundamentally </w:t>
      </w:r>
      <w:r w:rsidR="004B2806">
        <w:t>looking</w:t>
      </w:r>
      <w:r>
        <w:t xml:space="preserve"> to stabilise and regain a level of confidence.</w:t>
      </w:r>
      <w:r w:rsidR="003C5801">
        <w:t xml:space="preserve"> </w:t>
      </w:r>
      <w:r w:rsidR="004B7BB6">
        <w:t>Investors</w:t>
      </w:r>
      <w:r w:rsidR="001F41C6">
        <w:t xml:space="preserve"> </w:t>
      </w:r>
      <w:r w:rsidR="004273DE">
        <w:t xml:space="preserve">welcome the </w:t>
      </w:r>
      <w:r w:rsidR="00EF6467">
        <w:t>obvious signs</w:t>
      </w:r>
      <w:r w:rsidR="00B87F8B">
        <w:t xml:space="preserve"> that Central Banks </w:t>
      </w:r>
      <w:r w:rsidR="004273DE">
        <w:t>have</w:t>
      </w:r>
      <w:r w:rsidR="00B87F8B">
        <w:t xml:space="preserve"> “</w:t>
      </w:r>
      <w:r w:rsidR="003C5801" w:rsidRPr="00C27701">
        <w:rPr>
          <w:b/>
          <w:bCs/>
        </w:rPr>
        <w:t>pivot</w:t>
      </w:r>
      <w:r w:rsidR="004273DE">
        <w:rPr>
          <w:b/>
          <w:bCs/>
        </w:rPr>
        <w:t>ed</w:t>
      </w:r>
      <w:r w:rsidR="003C5801" w:rsidRPr="00C27701">
        <w:rPr>
          <w:b/>
          <w:bCs/>
        </w:rPr>
        <w:t>”</w:t>
      </w:r>
      <w:r w:rsidR="003C5801">
        <w:t xml:space="preserve"> </w:t>
      </w:r>
      <w:r>
        <w:t xml:space="preserve">now and </w:t>
      </w:r>
      <w:r w:rsidR="00C27701">
        <w:t xml:space="preserve">future </w:t>
      </w:r>
      <w:r w:rsidR="003C5801">
        <w:t xml:space="preserve">interest rates </w:t>
      </w:r>
      <w:r w:rsidR="00B87F8B">
        <w:t>moves are likely to be down not up which will underpin company valuations and support markets</w:t>
      </w:r>
      <w:r w:rsidR="0005073D">
        <w:t xml:space="preserve"> over the longer term</w:t>
      </w:r>
      <w:r w:rsidR="00B87F8B">
        <w:t>.</w:t>
      </w:r>
    </w:p>
    <w:p w14:paraId="13694BB7" w14:textId="43D1DAC4" w:rsidR="003C5801" w:rsidRDefault="00557108" w:rsidP="008A4D67">
      <w:pPr>
        <w:spacing w:before="120"/>
      </w:pPr>
      <w:r>
        <w:t>M</w:t>
      </w:r>
      <w:r w:rsidR="002B052C">
        <w:t xml:space="preserve">ost investors are content to </w:t>
      </w:r>
      <w:r w:rsidR="002B052C" w:rsidRPr="004F550F">
        <w:rPr>
          <w:b/>
          <w:bCs/>
        </w:rPr>
        <w:t xml:space="preserve">stay invested and </w:t>
      </w:r>
      <w:r w:rsidR="00711DF0">
        <w:rPr>
          <w:b/>
          <w:bCs/>
        </w:rPr>
        <w:t>opportunistically add to their positions</w:t>
      </w:r>
      <w:r w:rsidR="00DA22F2">
        <w:t xml:space="preserve"> </w:t>
      </w:r>
      <w:r w:rsidR="008D0519">
        <w:t xml:space="preserve">which has proven the correct strategy over the </w:t>
      </w:r>
      <w:r w:rsidR="0005073D">
        <w:t>recent medium-term trend</w:t>
      </w:r>
      <w:r w:rsidR="008D0519">
        <w:t>.</w:t>
      </w:r>
      <w:r w:rsidR="002B052C">
        <w:t xml:space="preserve"> </w:t>
      </w:r>
    </w:p>
    <w:p w14:paraId="6A843746" w14:textId="408BEAAA" w:rsidR="00317447" w:rsidRDefault="005738C3" w:rsidP="00CC263B">
      <w:pPr>
        <w:jc w:val="center"/>
        <w:rPr>
          <w:sz w:val="18"/>
        </w:rPr>
      </w:pPr>
      <w:r w:rsidRPr="005738C3">
        <w:rPr>
          <w:noProof/>
          <w:sz w:val="18"/>
        </w:rPr>
        <w:lastRenderedPageBreak/>
        <w:drawing>
          <wp:inline distT="0" distB="0" distL="0" distR="0" wp14:anchorId="4BB86951" wp14:editId="3CE88D92">
            <wp:extent cx="4648200" cy="3276600"/>
            <wp:effectExtent l="0" t="0" r="0" b="0"/>
            <wp:docPr id="14606887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48200" cy="3276600"/>
                    </a:xfrm>
                    <a:prstGeom prst="rect">
                      <a:avLst/>
                    </a:prstGeom>
                    <a:noFill/>
                    <a:ln>
                      <a:noFill/>
                    </a:ln>
                  </pic:spPr>
                </pic:pic>
              </a:graphicData>
            </a:graphic>
          </wp:inline>
        </w:drawing>
      </w:r>
    </w:p>
    <w:p w14:paraId="1D14B791" w14:textId="29A27FF7" w:rsidR="00CC263B" w:rsidRPr="00BE778B" w:rsidRDefault="00CC263B" w:rsidP="00CC263B">
      <w:pPr>
        <w:jc w:val="center"/>
        <w:rPr>
          <w:sz w:val="18"/>
        </w:rPr>
      </w:pPr>
      <w:r w:rsidRPr="00A70A09">
        <w:rPr>
          <w:sz w:val="18"/>
        </w:rPr>
        <w:t>Source data: Lonsec as of</w:t>
      </w:r>
      <w:r>
        <w:rPr>
          <w:sz w:val="18"/>
        </w:rPr>
        <w:t xml:space="preserve"> </w:t>
      </w:r>
      <w:r w:rsidR="00B437CB">
        <w:rPr>
          <w:sz w:val="18"/>
        </w:rPr>
        <w:t>3</w:t>
      </w:r>
      <w:r w:rsidR="005738C3">
        <w:rPr>
          <w:sz w:val="18"/>
        </w:rPr>
        <w:t>1</w:t>
      </w:r>
      <w:r w:rsidR="005738C3" w:rsidRPr="005738C3">
        <w:rPr>
          <w:sz w:val="18"/>
          <w:vertAlign w:val="superscript"/>
        </w:rPr>
        <w:t>st</w:t>
      </w:r>
      <w:r w:rsidR="005738C3">
        <w:rPr>
          <w:sz w:val="18"/>
        </w:rPr>
        <w:t xml:space="preserve"> May</w:t>
      </w:r>
      <w:r>
        <w:rPr>
          <w:sz w:val="18"/>
        </w:rPr>
        <w:t xml:space="preserve"> 202</w:t>
      </w:r>
      <w:r w:rsidR="004C5B3F">
        <w:rPr>
          <w:sz w:val="18"/>
        </w:rPr>
        <w:t>4</w:t>
      </w:r>
    </w:p>
    <w:p w14:paraId="114DA578" w14:textId="4E33B416" w:rsidR="00E51A06" w:rsidRDefault="001B12A9" w:rsidP="00CC263B">
      <w:r>
        <w:t>In AUD terms, t</w:t>
      </w:r>
      <w:r w:rsidR="009E7EF6">
        <w:t xml:space="preserve">he </w:t>
      </w:r>
      <w:r w:rsidR="008E7965">
        <w:t>global</w:t>
      </w:r>
      <w:r w:rsidR="00BF5596">
        <w:t xml:space="preserve"> </w:t>
      </w:r>
      <w:r w:rsidR="00E101E2">
        <w:t xml:space="preserve">share </w:t>
      </w:r>
      <w:r w:rsidR="009E7EF6">
        <w:t xml:space="preserve">markets posted </w:t>
      </w:r>
      <w:r w:rsidR="005909DA">
        <w:t>one</w:t>
      </w:r>
      <w:r w:rsidR="009E7EF6">
        <w:t xml:space="preserve"> month return of</w:t>
      </w:r>
      <w:r w:rsidR="00BF5596">
        <w:t xml:space="preserve"> </w:t>
      </w:r>
      <w:r w:rsidR="009E7EF6">
        <w:t>(</w:t>
      </w:r>
      <w:r w:rsidR="005738C3">
        <w:t>+2.08</w:t>
      </w:r>
      <w:r w:rsidR="009E7EF6">
        <w:t>%)</w:t>
      </w:r>
      <w:r w:rsidR="00E51A06">
        <w:t>. T</w:t>
      </w:r>
      <w:r w:rsidR="009E7EF6">
        <w:t>he US</w:t>
      </w:r>
      <w:r w:rsidR="00E51A06">
        <w:t xml:space="preserve"> posted </w:t>
      </w:r>
      <w:r w:rsidR="00184AC2">
        <w:t>returns</w:t>
      </w:r>
      <w:r>
        <w:t xml:space="preserve"> </w:t>
      </w:r>
      <w:r w:rsidR="00E51A06">
        <w:t>of</w:t>
      </w:r>
      <w:r w:rsidR="009E7EF6">
        <w:t xml:space="preserve"> (</w:t>
      </w:r>
      <w:r w:rsidR="005738C3">
        <w:t>2.48</w:t>
      </w:r>
      <w:r w:rsidR="009E7EF6">
        <w:t>%)</w:t>
      </w:r>
      <w:r w:rsidR="00E51A06">
        <w:t xml:space="preserve">, </w:t>
      </w:r>
      <w:r w:rsidR="009E7EF6">
        <w:t>Asia ex Japan (</w:t>
      </w:r>
      <w:r w:rsidR="005738C3">
        <w:t>-0.50</w:t>
      </w:r>
      <w:r w:rsidR="009E7EF6">
        <w:t>%)</w:t>
      </w:r>
      <w:r w:rsidR="00E51A06">
        <w:t>,</w:t>
      </w:r>
      <w:r w:rsidR="009E7EF6">
        <w:t xml:space="preserve"> Japan (</w:t>
      </w:r>
      <w:r w:rsidR="00937E69">
        <w:t>-1</w:t>
      </w:r>
      <w:r w:rsidR="005738C3">
        <w:t>.04</w:t>
      </w:r>
      <w:r w:rsidR="009E7EF6">
        <w:t>%)</w:t>
      </w:r>
      <w:r w:rsidR="00E51A06">
        <w:t>,</w:t>
      </w:r>
      <w:r w:rsidR="009E7EF6">
        <w:t xml:space="preserve"> the UK (</w:t>
      </w:r>
      <w:r w:rsidR="00937E69">
        <w:t>+</w:t>
      </w:r>
      <w:r w:rsidR="005738C3">
        <w:t>1.14</w:t>
      </w:r>
      <w:r w:rsidR="009E7EF6">
        <w:t>%)</w:t>
      </w:r>
      <w:r w:rsidR="00E51A06">
        <w:t>,</w:t>
      </w:r>
      <w:r w:rsidR="009E7EF6">
        <w:t xml:space="preserve"> Europe</w:t>
      </w:r>
      <w:r w:rsidR="00776C10">
        <w:t xml:space="preserve"> </w:t>
      </w:r>
      <w:r w:rsidR="00E51A06">
        <w:t>(</w:t>
      </w:r>
      <w:r w:rsidR="005738C3">
        <w:t>+2.55</w:t>
      </w:r>
      <w:r w:rsidR="005909DA">
        <w:t>%</w:t>
      </w:r>
      <w:r w:rsidR="00E51A06">
        <w:t xml:space="preserve">) </w:t>
      </w:r>
      <w:r w:rsidR="00776C10">
        <w:t>and</w:t>
      </w:r>
      <w:r w:rsidR="009E7EF6">
        <w:t xml:space="preserve"> </w:t>
      </w:r>
      <w:r w:rsidR="00776C10">
        <w:t>the Emerging Markets</w:t>
      </w:r>
      <w:r w:rsidR="00E51A06">
        <w:t xml:space="preserve"> (</w:t>
      </w:r>
      <w:r w:rsidR="005738C3">
        <w:t>-1.78</w:t>
      </w:r>
      <w:r w:rsidR="005909DA">
        <w:t>%</w:t>
      </w:r>
      <w:r w:rsidR="00E51A06">
        <w:t>)</w:t>
      </w:r>
      <w:r w:rsidR="009E7EF6">
        <w:t xml:space="preserve">. </w:t>
      </w:r>
    </w:p>
    <w:p w14:paraId="5BD2B4D9" w14:textId="5A35E1D4" w:rsidR="00802B2D" w:rsidRPr="002C183C" w:rsidRDefault="00802B2D" w:rsidP="00802B2D">
      <w:pPr>
        <w:rPr>
          <w:b/>
          <w:bCs/>
        </w:rPr>
      </w:pPr>
      <w:r w:rsidRPr="002C183C">
        <w:rPr>
          <w:b/>
          <w:bCs/>
        </w:rPr>
        <w:t>Australian Shares</w:t>
      </w:r>
    </w:p>
    <w:p w14:paraId="6D122B4F" w14:textId="7F0DEB44" w:rsidR="00D96147" w:rsidRDefault="00802B2D" w:rsidP="00080677">
      <w:r>
        <w:t xml:space="preserve">Australian </w:t>
      </w:r>
      <w:r w:rsidR="00D019FE">
        <w:t xml:space="preserve">shares </w:t>
      </w:r>
      <w:r w:rsidR="00317447">
        <w:t xml:space="preserve">posted </w:t>
      </w:r>
      <w:r w:rsidR="005738C3">
        <w:t>posi</w:t>
      </w:r>
      <w:r w:rsidR="00937E69">
        <w:t>t</w:t>
      </w:r>
      <w:r w:rsidR="00D87293">
        <w:t>ive</w:t>
      </w:r>
      <w:r w:rsidR="009D2BC7">
        <w:t xml:space="preserve"> returns </w:t>
      </w:r>
      <w:r w:rsidR="005738C3">
        <w:t xml:space="preserve">however, impacted by </w:t>
      </w:r>
      <w:r w:rsidR="00937E69">
        <w:t>soft</w:t>
      </w:r>
      <w:r w:rsidR="00D87293">
        <w:t xml:space="preserve"> </w:t>
      </w:r>
      <w:r w:rsidR="001C431B">
        <w:t xml:space="preserve">commodity prices and slowing </w:t>
      </w:r>
      <w:r w:rsidR="00D87293">
        <w:t>economic conditions</w:t>
      </w:r>
      <w:r w:rsidR="009D2BC7">
        <w:t xml:space="preserve">. </w:t>
      </w:r>
      <w:r w:rsidR="009D26B6">
        <w:t>Sh</w:t>
      </w:r>
      <w:r w:rsidR="00965252">
        <w:t xml:space="preserve">ares </w:t>
      </w:r>
      <w:r w:rsidR="00EF6467">
        <w:t>finished</w:t>
      </w:r>
      <w:r w:rsidR="009D26B6">
        <w:t xml:space="preserve"> </w:t>
      </w:r>
      <w:r w:rsidR="000E3566">
        <w:t>(</w:t>
      </w:r>
      <w:r w:rsidR="005738C3">
        <w:t>+0.92</w:t>
      </w:r>
      <w:r w:rsidR="000E3566">
        <w:t>%) for the month</w:t>
      </w:r>
      <w:r w:rsidR="0089710F">
        <w:t xml:space="preserve"> and (</w:t>
      </w:r>
      <w:r w:rsidR="00FC03A5">
        <w:t>+</w:t>
      </w:r>
      <w:r w:rsidR="00937E69">
        <w:t>1.</w:t>
      </w:r>
      <w:r w:rsidR="005738C3">
        <w:t>16</w:t>
      </w:r>
      <w:r w:rsidR="0089710F">
        <w:t>%) over the last three months</w:t>
      </w:r>
      <w:r w:rsidR="00992554">
        <w:t>.</w:t>
      </w:r>
      <w:r w:rsidR="000E3566">
        <w:t xml:space="preserve"> </w:t>
      </w:r>
      <w:r w:rsidR="00992554">
        <w:t>The focus for investors was</w:t>
      </w:r>
      <w:r w:rsidR="00F02508">
        <w:t>:</w:t>
      </w:r>
    </w:p>
    <w:p w14:paraId="717593C6" w14:textId="77777777" w:rsidR="009D2BC7" w:rsidRPr="009D2BC7" w:rsidRDefault="009D2BC7" w:rsidP="007F4CD0">
      <w:pPr>
        <w:pStyle w:val="ListParagraph"/>
        <w:numPr>
          <w:ilvl w:val="0"/>
          <w:numId w:val="7"/>
        </w:numPr>
      </w:pPr>
      <w:r w:rsidRPr="009D2BC7">
        <w:rPr>
          <w:b/>
          <w:bCs/>
        </w:rPr>
        <w:t>Cost of living expenses</w:t>
      </w:r>
      <w:r w:rsidRPr="009D2BC7">
        <w:t xml:space="preserve"> and the impact on consumer spending.</w:t>
      </w:r>
    </w:p>
    <w:p w14:paraId="46B2FCA7" w14:textId="2D8A7509" w:rsidR="009D2BC7" w:rsidRPr="009D2BC7" w:rsidRDefault="009D2BC7" w:rsidP="007F4CD0">
      <w:pPr>
        <w:pStyle w:val="ListParagraph"/>
        <w:numPr>
          <w:ilvl w:val="0"/>
          <w:numId w:val="7"/>
        </w:numPr>
      </w:pPr>
      <w:r w:rsidRPr="009D2BC7">
        <w:rPr>
          <w:b/>
          <w:bCs/>
        </w:rPr>
        <w:t>Company profits</w:t>
      </w:r>
      <w:r w:rsidRPr="009D2BC7">
        <w:t xml:space="preserve"> </w:t>
      </w:r>
      <w:r w:rsidR="001F41D2">
        <w:t>and forward earnings guidance</w:t>
      </w:r>
      <w:r w:rsidRPr="009D2BC7">
        <w:t>.</w:t>
      </w:r>
    </w:p>
    <w:p w14:paraId="5BBF831F" w14:textId="613959A3" w:rsidR="009D26B6" w:rsidRPr="009D2BC7" w:rsidRDefault="009D26B6" w:rsidP="007F4CD0">
      <w:pPr>
        <w:pStyle w:val="ListParagraph"/>
        <w:numPr>
          <w:ilvl w:val="0"/>
          <w:numId w:val="7"/>
        </w:numPr>
      </w:pPr>
      <w:r w:rsidRPr="009D2BC7">
        <w:rPr>
          <w:b/>
          <w:bCs/>
        </w:rPr>
        <w:t>Consumer confidence</w:t>
      </w:r>
      <w:r w:rsidRPr="009D2BC7">
        <w:t xml:space="preserve"> post the interest rate increases.</w:t>
      </w:r>
    </w:p>
    <w:p w14:paraId="17FE682E" w14:textId="64819F0C" w:rsidR="00EE74FA" w:rsidRDefault="00EE74FA" w:rsidP="007F4CD0">
      <w:pPr>
        <w:pStyle w:val="ListParagraph"/>
        <w:numPr>
          <w:ilvl w:val="0"/>
          <w:numId w:val="7"/>
        </w:numPr>
      </w:pPr>
      <w:r w:rsidRPr="00913545">
        <w:rPr>
          <w:b/>
          <w:bCs/>
        </w:rPr>
        <w:t>Mortgage stress</w:t>
      </w:r>
      <w:r>
        <w:t xml:space="preserve"> and the </w:t>
      </w:r>
      <w:r w:rsidR="00F43A7D">
        <w:t>impact</w:t>
      </w:r>
      <w:r>
        <w:t xml:space="preserve"> on </w:t>
      </w:r>
      <w:r w:rsidR="00965252">
        <w:t>domestic house prices</w:t>
      </w:r>
      <w:r w:rsidR="00D24497">
        <w:t xml:space="preserve"> and banks</w:t>
      </w:r>
      <w:r>
        <w:t>.</w:t>
      </w:r>
    </w:p>
    <w:p w14:paraId="2733ED20" w14:textId="4C316FBE" w:rsidR="002D1C33" w:rsidRDefault="00EE74FA" w:rsidP="007F4CD0">
      <w:pPr>
        <w:pStyle w:val="ListParagraph"/>
        <w:numPr>
          <w:ilvl w:val="0"/>
          <w:numId w:val="7"/>
        </w:numPr>
      </w:pPr>
      <w:r w:rsidRPr="00913545">
        <w:rPr>
          <w:b/>
          <w:bCs/>
        </w:rPr>
        <w:t>I</w:t>
      </w:r>
      <w:r w:rsidR="00D96147" w:rsidRPr="00913545">
        <w:rPr>
          <w:b/>
          <w:bCs/>
        </w:rPr>
        <w:t xml:space="preserve">nflation </w:t>
      </w:r>
      <w:r w:rsidR="00D96147">
        <w:t xml:space="preserve">and the </w:t>
      </w:r>
      <w:r w:rsidR="006B60E2">
        <w:t xml:space="preserve">welcome response </w:t>
      </w:r>
      <w:r w:rsidR="00395F1F">
        <w:t xml:space="preserve">by the RBA to </w:t>
      </w:r>
      <w:r w:rsidR="006B60E2">
        <w:t xml:space="preserve">hold </w:t>
      </w:r>
      <w:r w:rsidR="001C5422">
        <w:t xml:space="preserve">the target cash rate </w:t>
      </w:r>
      <w:r w:rsidR="006B60E2">
        <w:t>at 4.</w:t>
      </w:r>
      <w:r w:rsidR="009D2BC7">
        <w:t>35</w:t>
      </w:r>
      <w:r w:rsidR="006B60E2">
        <w:t>%.</w:t>
      </w:r>
    </w:p>
    <w:p w14:paraId="03D0C949" w14:textId="4730C963" w:rsidR="009E7EF6" w:rsidRDefault="0089710F" w:rsidP="009E7EF6">
      <w:r>
        <w:t>C</w:t>
      </w:r>
      <w:r w:rsidR="00E05A34">
        <w:t>om</w:t>
      </w:r>
      <w:r w:rsidR="009E7EF6" w:rsidRPr="00F90325">
        <w:t xml:space="preserve">modity markets </w:t>
      </w:r>
      <w:r w:rsidR="00457450">
        <w:t>ended</w:t>
      </w:r>
      <w:r w:rsidR="00E32E30">
        <w:t xml:space="preserve"> </w:t>
      </w:r>
      <w:r w:rsidR="001C431B">
        <w:t>lower</w:t>
      </w:r>
      <w:r w:rsidR="00FC5F13">
        <w:t xml:space="preserve"> </w:t>
      </w:r>
      <w:r w:rsidR="0056303E">
        <w:t xml:space="preserve">with </w:t>
      </w:r>
      <w:r w:rsidR="009E7EF6" w:rsidRPr="00F90325">
        <w:t>Iron Ore clos</w:t>
      </w:r>
      <w:r w:rsidR="00040E36">
        <w:t>ing</w:t>
      </w:r>
      <w:r w:rsidR="009E7EF6" w:rsidRPr="00F90325">
        <w:t xml:space="preserve"> at US$</w:t>
      </w:r>
      <w:r w:rsidR="00C81C0C">
        <w:t>1</w:t>
      </w:r>
      <w:r w:rsidR="00937E69">
        <w:t>1</w:t>
      </w:r>
      <w:r w:rsidR="00F564DE">
        <w:t>7</w:t>
      </w:r>
      <w:r w:rsidR="00B437CB">
        <w:t>.</w:t>
      </w:r>
      <w:r w:rsidR="00F564DE">
        <w:t>52</w:t>
      </w:r>
      <w:r w:rsidR="009E7EF6" w:rsidRPr="00F90325">
        <w:t xml:space="preserve"> </w:t>
      </w:r>
      <w:r w:rsidR="006D3802">
        <w:t xml:space="preserve">per tonne </w:t>
      </w:r>
      <w:r w:rsidR="00910A84">
        <w:t xml:space="preserve">at the end of </w:t>
      </w:r>
      <w:r w:rsidR="00F564DE">
        <w:t>May</w:t>
      </w:r>
      <w:r w:rsidR="00AA627D">
        <w:t xml:space="preserve"> 202</w:t>
      </w:r>
      <w:r w:rsidR="006C3814">
        <w:t>4</w:t>
      </w:r>
      <w:r w:rsidR="00910A84">
        <w:t xml:space="preserve"> </w:t>
      </w:r>
      <w:r w:rsidR="00A85A05" w:rsidRPr="00F90325">
        <w:t xml:space="preserve">with </w:t>
      </w:r>
      <w:r w:rsidR="00910A84">
        <w:t xml:space="preserve">a </w:t>
      </w:r>
      <w:r w:rsidR="00A85A05" w:rsidRPr="00F90325">
        <w:t xml:space="preserve">monthly </w:t>
      </w:r>
      <w:r w:rsidR="0079027C">
        <w:t>gain</w:t>
      </w:r>
      <w:r w:rsidR="008F7018">
        <w:t xml:space="preserve"> </w:t>
      </w:r>
      <w:r w:rsidR="00A85A05" w:rsidRPr="00F90325">
        <w:t>of (</w:t>
      </w:r>
      <w:r w:rsidR="0079027C">
        <w:t>+</w:t>
      </w:r>
      <w:r w:rsidR="00F564DE">
        <w:t>5.9</w:t>
      </w:r>
      <w:r w:rsidR="0079027C">
        <w:t>6</w:t>
      </w:r>
      <w:r w:rsidR="00A85A05" w:rsidRPr="00F90325">
        <w:t xml:space="preserve">%) </w:t>
      </w:r>
      <w:r w:rsidR="00FC5F13">
        <w:t xml:space="preserve">and </w:t>
      </w:r>
      <w:r w:rsidR="001F41D2">
        <w:t>losses</w:t>
      </w:r>
      <w:r w:rsidR="00C44EA9">
        <w:t xml:space="preserve"> of </w:t>
      </w:r>
      <w:r w:rsidR="009E7EF6" w:rsidRPr="00F90325">
        <w:t>(</w:t>
      </w:r>
      <w:r w:rsidR="001F41D2">
        <w:t>-</w:t>
      </w:r>
      <w:r w:rsidR="00F564DE">
        <w:t>5.88</w:t>
      </w:r>
      <w:r w:rsidR="009E7EF6" w:rsidRPr="00F90325">
        <w:t xml:space="preserve">%) for </w:t>
      </w:r>
      <w:r w:rsidR="0032180A" w:rsidRPr="00F90325">
        <w:t>the previous three months</w:t>
      </w:r>
      <w:r w:rsidR="009E7EF6" w:rsidRPr="00F90325">
        <w:t xml:space="preserve">. </w:t>
      </w:r>
      <w:r w:rsidR="008F7018">
        <w:t>O</w:t>
      </w:r>
      <w:r w:rsidR="008F7018" w:rsidRPr="00F90325">
        <w:t xml:space="preserve">il (WTI) </w:t>
      </w:r>
      <w:r w:rsidR="008F7018">
        <w:t>closed</w:t>
      </w:r>
      <w:r w:rsidR="00E91EC4">
        <w:t xml:space="preserve"> </w:t>
      </w:r>
      <w:r w:rsidR="0079027C">
        <w:t>lower</w:t>
      </w:r>
      <w:r w:rsidR="008F7018" w:rsidRPr="00F90325">
        <w:t xml:space="preserve"> at US$</w:t>
      </w:r>
      <w:r w:rsidR="00F564DE">
        <w:t>76.99</w:t>
      </w:r>
      <w:r w:rsidR="008F7018" w:rsidRPr="00F90325">
        <w:t xml:space="preserve"> </w:t>
      </w:r>
      <w:r w:rsidR="008F7018">
        <w:t xml:space="preserve">a barrel </w:t>
      </w:r>
      <w:r w:rsidR="008F7018" w:rsidRPr="00F90325">
        <w:t>at the end o</w:t>
      </w:r>
      <w:r w:rsidR="008F7018">
        <w:t>f</w:t>
      </w:r>
      <w:r w:rsidR="008F7018" w:rsidRPr="00F90325">
        <w:t xml:space="preserve"> </w:t>
      </w:r>
      <w:r w:rsidR="00F564DE">
        <w:t>May</w:t>
      </w:r>
      <w:r w:rsidR="00AA627D">
        <w:t xml:space="preserve"> 202</w:t>
      </w:r>
      <w:r w:rsidR="006C68B8">
        <w:t>4</w:t>
      </w:r>
      <w:r w:rsidR="008F7018" w:rsidRPr="00F90325">
        <w:t xml:space="preserve"> </w:t>
      </w:r>
      <w:r w:rsidR="008F7018">
        <w:t>resulting in</w:t>
      </w:r>
      <w:r w:rsidR="008F7018" w:rsidRPr="00F90325">
        <w:t xml:space="preserve"> </w:t>
      </w:r>
      <w:r w:rsidR="006C68B8">
        <w:t xml:space="preserve">a </w:t>
      </w:r>
      <w:r w:rsidR="0079027C">
        <w:t>loss</w:t>
      </w:r>
      <w:r w:rsidR="006C68B8">
        <w:t xml:space="preserve"> of</w:t>
      </w:r>
      <w:r w:rsidR="008F7018" w:rsidRPr="00F90325">
        <w:t xml:space="preserve"> (</w:t>
      </w:r>
      <w:r w:rsidR="0079027C">
        <w:t>-</w:t>
      </w:r>
      <w:r w:rsidR="00F564DE">
        <w:t>6.03</w:t>
      </w:r>
      <w:r w:rsidR="00E77097">
        <w:t>%</w:t>
      </w:r>
      <w:r w:rsidR="008F7018" w:rsidRPr="00F90325">
        <w:t xml:space="preserve">) for the month </w:t>
      </w:r>
      <w:r w:rsidR="00107972">
        <w:t xml:space="preserve">and </w:t>
      </w:r>
      <w:r w:rsidR="001F41D2">
        <w:t>up</w:t>
      </w:r>
      <w:r w:rsidR="00F93701">
        <w:t xml:space="preserve"> </w:t>
      </w:r>
      <w:r w:rsidR="008F7018" w:rsidRPr="00F90325">
        <w:t>(</w:t>
      </w:r>
      <w:r w:rsidR="00F564DE">
        <w:t>-1.6</w:t>
      </w:r>
      <w:r w:rsidR="0079027C">
        <w:t>2</w:t>
      </w:r>
      <w:r w:rsidR="00DB1554">
        <w:t>%</w:t>
      </w:r>
      <w:r w:rsidR="008F7018" w:rsidRPr="00F90325">
        <w:t xml:space="preserve">) over the </w:t>
      </w:r>
      <w:r w:rsidR="00E65B82">
        <w:t xml:space="preserve">last </w:t>
      </w:r>
      <w:r w:rsidR="008F7018" w:rsidRPr="00F90325">
        <w:t>three months.</w:t>
      </w:r>
      <w:r w:rsidR="008F7018">
        <w:t xml:space="preserve"> China remains our main export market followed by Japan. </w:t>
      </w:r>
    </w:p>
    <w:p w14:paraId="7BC6B594" w14:textId="7E48C16A"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lastRenderedPageBreak/>
        <w:t>Australian Industry Returns</w:t>
      </w:r>
      <w:r w:rsidRPr="002C183C">
        <w:rPr>
          <w:rFonts w:asciiTheme="minorHAnsi" w:eastAsiaTheme="minorEastAsia" w:hAnsiTheme="minorHAnsi" w:cstheme="minorBidi"/>
          <w:iCs w:val="0"/>
          <w:color w:val="414042" w:themeColor="text1"/>
          <w:sz w:val="22"/>
          <w:lang w:val="en-AU" w:bidi="ar-SA"/>
        </w:rPr>
        <w:tab/>
      </w:r>
    </w:p>
    <w:p w14:paraId="1130FA96" w14:textId="684213D6" w:rsidR="009E7EF6" w:rsidRDefault="009E7EF6" w:rsidP="009E7EF6">
      <w:pPr>
        <w:spacing w:before="120" w:after="120"/>
      </w:pPr>
      <w:r>
        <w:t xml:space="preserve">Industry sectors </w:t>
      </w:r>
      <w:r w:rsidR="00CF0345">
        <w:t>posted</w:t>
      </w:r>
      <w:r w:rsidR="00436EB4">
        <w:t xml:space="preserve"> </w:t>
      </w:r>
      <w:r w:rsidR="00E32E30">
        <w:t>mixed</w:t>
      </w:r>
      <w:r w:rsidR="003E66A5">
        <w:t xml:space="preserve"> </w:t>
      </w:r>
      <w:r w:rsidR="00CF0345">
        <w:t xml:space="preserve">results </w:t>
      </w:r>
      <w:r>
        <w:t xml:space="preserve">for </w:t>
      </w:r>
      <w:r w:rsidR="00453990">
        <w:t>May</w:t>
      </w:r>
      <w:r w:rsidR="00AA627D">
        <w:t xml:space="preserve"> 202</w:t>
      </w:r>
      <w:r w:rsidR="00053887">
        <w:t>4</w:t>
      </w:r>
      <w:r w:rsidR="008855EF">
        <w:t>.</w:t>
      </w:r>
      <w:r w:rsidR="00C460B3">
        <w:t xml:space="preserve"> </w:t>
      </w:r>
      <w:r>
        <w:t xml:space="preserve">The </w:t>
      </w:r>
      <w:r w:rsidR="000B4548">
        <w:t xml:space="preserve">industry sector </w:t>
      </w:r>
      <w:r w:rsidR="00ED23CC">
        <w:t>performance results</w:t>
      </w:r>
      <w:r>
        <w:t xml:space="preserve"> </w:t>
      </w:r>
      <w:r w:rsidR="00A85A05">
        <w:t xml:space="preserve">for the last </w:t>
      </w:r>
      <w:r w:rsidR="00C41573">
        <w:t xml:space="preserve">month </w:t>
      </w:r>
      <w:r>
        <w:t>were</w:t>
      </w:r>
      <w:r w:rsidR="007B7DEB">
        <w:t>:</w:t>
      </w:r>
    </w:p>
    <w:p w14:paraId="495E86FB" w14:textId="0A17A6E5" w:rsidR="005D2435" w:rsidRDefault="001C431B" w:rsidP="003E7BC7">
      <w:pPr>
        <w:spacing w:before="120" w:after="120"/>
        <w:jc w:val="center"/>
        <w:rPr>
          <w:sz w:val="18"/>
        </w:rPr>
      </w:pPr>
      <w:r w:rsidRPr="001C431B">
        <w:rPr>
          <w:noProof/>
          <w:sz w:val="18"/>
        </w:rPr>
        <w:drawing>
          <wp:inline distT="0" distB="0" distL="0" distR="0" wp14:anchorId="0AA45EA0" wp14:editId="65E12A10">
            <wp:extent cx="4019550" cy="3609975"/>
            <wp:effectExtent l="0" t="0" r="0" b="0"/>
            <wp:docPr id="14699489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19550" cy="3609975"/>
                    </a:xfrm>
                    <a:prstGeom prst="rect">
                      <a:avLst/>
                    </a:prstGeom>
                    <a:noFill/>
                    <a:ln>
                      <a:noFill/>
                    </a:ln>
                  </pic:spPr>
                </pic:pic>
              </a:graphicData>
            </a:graphic>
          </wp:inline>
        </w:drawing>
      </w:r>
    </w:p>
    <w:p w14:paraId="5D5D2263" w14:textId="2651ADAB" w:rsidR="009E7EF6" w:rsidRPr="003E7BC7" w:rsidRDefault="005D2435" w:rsidP="003E7BC7">
      <w:pPr>
        <w:spacing w:before="120" w:after="120"/>
        <w:jc w:val="center"/>
      </w:pPr>
      <w:r>
        <w:rPr>
          <w:sz w:val="18"/>
        </w:rPr>
        <w:t xml:space="preserve">Source </w:t>
      </w:r>
      <w:r w:rsidR="009E7EF6" w:rsidRPr="00A70A09">
        <w:rPr>
          <w:sz w:val="18"/>
        </w:rPr>
        <w:t xml:space="preserve">data: Lonsec as </w:t>
      </w:r>
      <w:r w:rsidR="0023164B" w:rsidRPr="00A70A09">
        <w:rPr>
          <w:sz w:val="18"/>
        </w:rPr>
        <w:t>of</w:t>
      </w:r>
      <w:r w:rsidR="009B0E17">
        <w:rPr>
          <w:sz w:val="18"/>
        </w:rPr>
        <w:t xml:space="preserve"> </w:t>
      </w:r>
      <w:r w:rsidR="0076238E">
        <w:rPr>
          <w:sz w:val="18"/>
        </w:rPr>
        <w:t>3</w:t>
      </w:r>
      <w:r w:rsidR="00453990">
        <w:rPr>
          <w:sz w:val="18"/>
        </w:rPr>
        <w:t>1</w:t>
      </w:r>
      <w:r w:rsidR="00453990" w:rsidRPr="00453990">
        <w:rPr>
          <w:sz w:val="18"/>
          <w:vertAlign w:val="superscript"/>
        </w:rPr>
        <w:t>st</w:t>
      </w:r>
      <w:r w:rsidR="00453990">
        <w:rPr>
          <w:sz w:val="18"/>
        </w:rPr>
        <w:t xml:space="preserve"> May</w:t>
      </w:r>
      <w:r w:rsidR="00CC7292">
        <w:rPr>
          <w:sz w:val="18"/>
        </w:rPr>
        <w:t xml:space="preserve"> </w:t>
      </w:r>
      <w:r w:rsidR="00AA627D">
        <w:rPr>
          <w:sz w:val="18"/>
        </w:rPr>
        <w:t>202</w:t>
      </w:r>
      <w:r w:rsidR="006C68B8">
        <w:rPr>
          <w:sz w:val="18"/>
        </w:rPr>
        <w:t>4</w:t>
      </w:r>
    </w:p>
    <w:p w14:paraId="58FD09A7" w14:textId="1F6D3280" w:rsidR="009E7EF6" w:rsidRDefault="009E7EF6" w:rsidP="009E7EF6">
      <w:pPr>
        <w:spacing w:before="120" w:after="120"/>
      </w:pPr>
      <w:r>
        <w:t xml:space="preserve">Over the last month, </w:t>
      </w:r>
      <w:r w:rsidR="00453990">
        <w:t>Information Technology</w:t>
      </w:r>
      <w:r w:rsidR="004C3C46">
        <w:t xml:space="preserve"> </w:t>
      </w:r>
      <w:r w:rsidR="00B34A65">
        <w:t>w</w:t>
      </w:r>
      <w:r w:rsidR="00C02439">
        <w:t>as</w:t>
      </w:r>
      <w:r w:rsidR="00910A84">
        <w:t xml:space="preserve"> the </w:t>
      </w:r>
      <w:r w:rsidR="001A3D53">
        <w:t>best</w:t>
      </w:r>
      <w:r w:rsidR="00A94C92">
        <w:t xml:space="preserve"> </w:t>
      </w:r>
      <w:r w:rsidR="00BF751B">
        <w:t xml:space="preserve">performing sector </w:t>
      </w:r>
      <w:r w:rsidR="00A94C92">
        <w:t>posting</w:t>
      </w:r>
      <w:r w:rsidR="002720B5">
        <w:t xml:space="preserve"> </w:t>
      </w:r>
      <w:r w:rsidR="00D46064">
        <w:t>gains</w:t>
      </w:r>
      <w:r w:rsidR="00736488">
        <w:t xml:space="preserve"> of </w:t>
      </w:r>
      <w:r>
        <w:t>(</w:t>
      </w:r>
      <w:r w:rsidR="00D46064">
        <w:t>+</w:t>
      </w:r>
      <w:r w:rsidR="00453990">
        <w:t>5.45</w:t>
      </w:r>
      <w:r>
        <w:t>%)</w:t>
      </w:r>
      <w:r w:rsidR="00757323">
        <w:t>.</w:t>
      </w:r>
    </w:p>
    <w:p w14:paraId="1BD9D657" w14:textId="664D3883" w:rsidR="00BF751B" w:rsidRDefault="00453990" w:rsidP="00BF751B">
      <w:pPr>
        <w:spacing w:before="120" w:after="120"/>
      </w:pPr>
      <w:r>
        <w:t>Communication Services</w:t>
      </w:r>
      <w:r w:rsidR="00FD1D3A">
        <w:t xml:space="preserve"> </w:t>
      </w:r>
      <w:r w:rsidR="00EE3DE2">
        <w:t>w</w:t>
      </w:r>
      <w:r w:rsidR="008A419F">
        <w:t>as</w:t>
      </w:r>
      <w:r w:rsidR="00C041DA">
        <w:t xml:space="preserve"> the </w:t>
      </w:r>
      <w:r w:rsidR="006D5106">
        <w:t xml:space="preserve">worst performing sector </w:t>
      </w:r>
      <w:r w:rsidR="00B700A9">
        <w:t>finishing</w:t>
      </w:r>
      <w:r w:rsidR="0058757B">
        <w:t xml:space="preserve"> </w:t>
      </w:r>
      <w:r w:rsidR="00BF751B">
        <w:t>(</w:t>
      </w:r>
      <w:r w:rsidR="00053887">
        <w:t>-</w:t>
      </w:r>
      <w:r>
        <w:t>4.63</w:t>
      </w:r>
      <w:r w:rsidR="00BF751B">
        <w:t>%</w:t>
      </w:r>
      <w:r w:rsidR="004A252E">
        <w:t>)</w:t>
      </w:r>
      <w:r w:rsidR="00EE6DB0">
        <w:t xml:space="preserve"> for the month</w:t>
      </w:r>
      <w:r w:rsidR="00EF3062">
        <w:t xml:space="preserve">. </w:t>
      </w:r>
    </w:p>
    <w:p w14:paraId="6051FE95" w14:textId="3A23A588" w:rsidR="006C68B8" w:rsidRDefault="00453990" w:rsidP="001F41D2">
      <w:pPr>
        <w:spacing w:before="120" w:after="120"/>
        <w:jc w:val="center"/>
      </w:pPr>
      <w:r w:rsidRPr="00453990">
        <w:rPr>
          <w:noProof/>
        </w:rPr>
        <w:lastRenderedPageBreak/>
        <w:drawing>
          <wp:inline distT="0" distB="0" distL="0" distR="0" wp14:anchorId="0AAF32D8" wp14:editId="2B1E07F2">
            <wp:extent cx="4219575" cy="2609850"/>
            <wp:effectExtent l="0" t="0" r="0" b="0"/>
            <wp:docPr id="13584632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19575" cy="2609850"/>
                    </a:xfrm>
                    <a:prstGeom prst="rect">
                      <a:avLst/>
                    </a:prstGeom>
                    <a:noFill/>
                    <a:ln>
                      <a:noFill/>
                    </a:ln>
                  </pic:spPr>
                </pic:pic>
              </a:graphicData>
            </a:graphic>
          </wp:inline>
        </w:drawing>
      </w:r>
    </w:p>
    <w:p w14:paraId="7EE381D5" w14:textId="62DD3142" w:rsidR="009E7EF6" w:rsidRDefault="006C68B8" w:rsidP="009E7EF6">
      <w:pPr>
        <w:jc w:val="center"/>
        <w:rPr>
          <w:sz w:val="18"/>
        </w:rPr>
      </w:pPr>
      <w:r>
        <w:rPr>
          <w:sz w:val="18"/>
        </w:rPr>
        <w:t>S</w:t>
      </w:r>
      <w:r w:rsidR="009E7EF6" w:rsidRPr="00A70A09">
        <w:rPr>
          <w:sz w:val="18"/>
        </w:rPr>
        <w:t xml:space="preserve">ource data: Lonsec as </w:t>
      </w:r>
      <w:r w:rsidR="0023164B" w:rsidRPr="00A70A09">
        <w:rPr>
          <w:sz w:val="18"/>
        </w:rPr>
        <w:t>of</w:t>
      </w:r>
      <w:r w:rsidR="009E7EF6" w:rsidRPr="00A70A09">
        <w:rPr>
          <w:sz w:val="18"/>
        </w:rPr>
        <w:t xml:space="preserve"> </w:t>
      </w:r>
      <w:r w:rsidR="00E67B5F">
        <w:rPr>
          <w:sz w:val="18"/>
        </w:rPr>
        <w:t>3</w:t>
      </w:r>
      <w:r w:rsidR="00453990">
        <w:rPr>
          <w:sz w:val="18"/>
        </w:rPr>
        <w:t>1</w:t>
      </w:r>
      <w:r w:rsidR="00453990" w:rsidRPr="00453990">
        <w:rPr>
          <w:sz w:val="18"/>
          <w:vertAlign w:val="superscript"/>
        </w:rPr>
        <w:t>st</w:t>
      </w:r>
      <w:r w:rsidR="00453990">
        <w:rPr>
          <w:sz w:val="18"/>
        </w:rPr>
        <w:t xml:space="preserve"> May</w:t>
      </w:r>
      <w:r w:rsidR="007D590D">
        <w:rPr>
          <w:sz w:val="18"/>
        </w:rPr>
        <w:t xml:space="preserve"> 2</w:t>
      </w:r>
      <w:r w:rsidR="00AA627D">
        <w:rPr>
          <w:sz w:val="18"/>
        </w:rPr>
        <w:t>02</w:t>
      </w:r>
      <w:r>
        <w:rPr>
          <w:sz w:val="18"/>
        </w:rPr>
        <w:t>4</w:t>
      </w:r>
    </w:p>
    <w:p w14:paraId="78F8BC4A" w14:textId="77777777"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Debt Market Returns</w:t>
      </w:r>
    </w:p>
    <w:p w14:paraId="26CC03CE" w14:textId="7D3EC0F6" w:rsidR="00585652" w:rsidRDefault="009E7EF6" w:rsidP="009E7EF6">
      <w:pPr>
        <w:spacing w:before="120" w:after="120"/>
      </w:pPr>
      <w:r>
        <w:t xml:space="preserve">Bonds and Fixed Interest markets </w:t>
      </w:r>
      <w:r w:rsidR="00F43A7D">
        <w:t>finished</w:t>
      </w:r>
      <w:r w:rsidR="00C175CC">
        <w:t xml:space="preserve"> </w:t>
      </w:r>
      <w:r w:rsidR="001846E3">
        <w:t xml:space="preserve">in </w:t>
      </w:r>
      <w:r w:rsidR="00ED2653">
        <w:t>positive</w:t>
      </w:r>
      <w:r w:rsidR="001846E3">
        <w:t xml:space="preserve"> territory </w:t>
      </w:r>
      <w:r w:rsidR="00A52972">
        <w:t xml:space="preserve">as </w:t>
      </w:r>
      <w:r w:rsidR="008E3CF5">
        <w:t xml:space="preserve">global bond </w:t>
      </w:r>
      <w:r w:rsidR="00C175CC">
        <w:t>pr</w:t>
      </w:r>
      <w:r w:rsidR="002710BC">
        <w:t>ice</w:t>
      </w:r>
      <w:r w:rsidR="00A52972">
        <w:t xml:space="preserve">s </w:t>
      </w:r>
      <w:r w:rsidR="00680BB2">
        <w:t xml:space="preserve">pushed </w:t>
      </w:r>
      <w:r w:rsidR="00ED2653">
        <w:t>higher</w:t>
      </w:r>
      <w:r w:rsidR="002710BC">
        <w:t xml:space="preserve"> (</w:t>
      </w:r>
      <w:r w:rsidR="00ED2653">
        <w:t>down</w:t>
      </w:r>
      <w:r w:rsidR="00E54896">
        <w:t xml:space="preserve"> </w:t>
      </w:r>
      <w:r w:rsidR="003C26EF">
        <w:t xml:space="preserve">in </w:t>
      </w:r>
      <w:r w:rsidR="002710BC">
        <w:t xml:space="preserve">yield) </w:t>
      </w:r>
      <w:r w:rsidR="00ED2653">
        <w:t xml:space="preserve">as </w:t>
      </w:r>
      <w:r w:rsidR="006820B4">
        <w:t>several</w:t>
      </w:r>
      <w:r w:rsidR="00ED2653">
        <w:t xml:space="preserve"> </w:t>
      </w:r>
      <w:r w:rsidR="009C7E09">
        <w:t>C</w:t>
      </w:r>
      <w:r w:rsidR="00A52972">
        <w:t xml:space="preserve">entral </w:t>
      </w:r>
      <w:r w:rsidR="009C7E09">
        <w:t>B</w:t>
      </w:r>
      <w:r w:rsidR="00A52972">
        <w:t>ank</w:t>
      </w:r>
      <w:r w:rsidR="00ED2653">
        <w:t xml:space="preserve">s </w:t>
      </w:r>
      <w:r w:rsidR="00343D9A">
        <w:t>began to ease their target cash rates. I</w:t>
      </w:r>
      <w:r w:rsidR="00C02439">
        <w:t xml:space="preserve">nvestors </w:t>
      </w:r>
      <w:r w:rsidR="00343D9A">
        <w:t xml:space="preserve">were encouraged by this trend but not all economies are experiencing inflation falls and remain focussed on the </w:t>
      </w:r>
      <w:r w:rsidR="00C02439">
        <w:t>longer-term</w:t>
      </w:r>
      <w:r w:rsidR="006820B4">
        <w:t xml:space="preserve"> </w:t>
      </w:r>
      <w:r w:rsidR="00C02439">
        <w:t xml:space="preserve">for </w:t>
      </w:r>
      <w:r w:rsidR="00343D9A">
        <w:t xml:space="preserve">both inflation and </w:t>
      </w:r>
      <w:r w:rsidR="00C02439">
        <w:t xml:space="preserve">cash rates to come down. </w:t>
      </w:r>
      <w:r w:rsidR="00712A94">
        <w:t xml:space="preserve">In </w:t>
      </w:r>
      <w:r w:rsidR="00EF3062">
        <w:t>Australia,</w:t>
      </w:r>
      <w:r w:rsidR="00712A94">
        <w:t xml:space="preserve"> t</w:t>
      </w:r>
      <w:r w:rsidR="001C4340">
        <w:t xml:space="preserve">he </w:t>
      </w:r>
      <w:r w:rsidR="00585652">
        <w:t>short-dated</w:t>
      </w:r>
      <w:r w:rsidR="001C4340">
        <w:t xml:space="preserve"> </w:t>
      </w:r>
      <w:r w:rsidR="0022166E">
        <w:t xml:space="preserve"> </w:t>
      </w:r>
      <w:r w:rsidR="00A52972">
        <w:t>2</w:t>
      </w:r>
      <w:r w:rsidR="008D78CF">
        <w:t>-year</w:t>
      </w:r>
      <w:r w:rsidR="00503D92">
        <w:t xml:space="preserve"> </w:t>
      </w:r>
      <w:r w:rsidR="0020369D">
        <w:t xml:space="preserve">Government bonds </w:t>
      </w:r>
      <w:r w:rsidR="00D072D3">
        <w:t xml:space="preserve">trading at </w:t>
      </w:r>
      <w:r w:rsidR="00343D9A">
        <w:rPr>
          <w:b/>
          <w:bCs/>
        </w:rPr>
        <w:t>3</w:t>
      </w:r>
      <w:r w:rsidR="00E54896" w:rsidRPr="00E54896">
        <w:rPr>
          <w:b/>
          <w:bCs/>
        </w:rPr>
        <w:t>.</w:t>
      </w:r>
      <w:r w:rsidR="00343D9A">
        <w:rPr>
          <w:b/>
          <w:bCs/>
        </w:rPr>
        <w:t>9</w:t>
      </w:r>
      <w:r w:rsidR="001846E3" w:rsidRPr="00E54896">
        <w:rPr>
          <w:b/>
          <w:bCs/>
        </w:rPr>
        <w:t>5</w:t>
      </w:r>
      <w:r w:rsidR="0020369D" w:rsidRPr="00E54896">
        <w:rPr>
          <w:b/>
          <w:bCs/>
        </w:rPr>
        <w:t>%</w:t>
      </w:r>
      <w:r w:rsidR="0020369D">
        <w:t xml:space="preserve"> </w:t>
      </w:r>
      <w:r w:rsidR="00C23855">
        <w:t xml:space="preserve">on the </w:t>
      </w:r>
      <w:r w:rsidR="008229BA">
        <w:t>1</w:t>
      </w:r>
      <w:r w:rsidR="00E54896">
        <w:t>4</w:t>
      </w:r>
      <w:r w:rsidR="008229BA" w:rsidRPr="008229BA">
        <w:rPr>
          <w:vertAlign w:val="superscript"/>
        </w:rPr>
        <w:t>th of</w:t>
      </w:r>
      <w:r w:rsidR="008229BA">
        <w:t xml:space="preserve"> </w:t>
      </w:r>
      <w:r w:rsidR="00343D9A">
        <w:t>June</w:t>
      </w:r>
      <w:r w:rsidR="00C23855">
        <w:t xml:space="preserve"> 202</w:t>
      </w:r>
      <w:r w:rsidR="00DF6C7A">
        <w:t>4</w:t>
      </w:r>
      <w:r w:rsidR="00C23855">
        <w:t xml:space="preserve"> </w:t>
      </w:r>
      <w:r w:rsidR="0022166E">
        <w:t xml:space="preserve">and longer dated </w:t>
      </w:r>
      <w:r w:rsidR="00503D92">
        <w:t>10</w:t>
      </w:r>
      <w:r w:rsidR="008D78CF">
        <w:t>-</w:t>
      </w:r>
      <w:r w:rsidR="00503D92">
        <w:t xml:space="preserve">year </w:t>
      </w:r>
      <w:r w:rsidR="001C4340">
        <w:t xml:space="preserve">bonds </w:t>
      </w:r>
      <w:r w:rsidR="00D072D3">
        <w:t>trading</w:t>
      </w:r>
      <w:r w:rsidR="00AD47B6">
        <w:t xml:space="preserve"> at </w:t>
      </w:r>
      <w:r w:rsidR="008E3CF5" w:rsidRPr="008229BA">
        <w:rPr>
          <w:b/>
          <w:bCs/>
        </w:rPr>
        <w:t>4.</w:t>
      </w:r>
      <w:r w:rsidR="00343D9A">
        <w:rPr>
          <w:b/>
          <w:bCs/>
        </w:rPr>
        <w:t>18</w:t>
      </w:r>
      <w:r w:rsidR="00526D92" w:rsidRPr="008229BA">
        <w:rPr>
          <w:b/>
          <w:bCs/>
        </w:rPr>
        <w:t>%</w:t>
      </w:r>
      <w:r w:rsidR="00867FD2" w:rsidRPr="008229BA">
        <w:rPr>
          <w:b/>
          <w:bCs/>
        </w:rPr>
        <w:t>.</w:t>
      </w:r>
      <w:r w:rsidR="00712A94">
        <w:t xml:space="preserve"> </w:t>
      </w:r>
    </w:p>
    <w:p w14:paraId="3C549984" w14:textId="35A2091D" w:rsidR="00894706" w:rsidRDefault="00ED23CC" w:rsidP="009E7EF6">
      <w:pPr>
        <w:spacing w:before="120" w:after="120"/>
      </w:pPr>
      <w:r>
        <w:t xml:space="preserve">Global Bonds </w:t>
      </w:r>
      <w:r w:rsidR="00C51753">
        <w:t xml:space="preserve">ended </w:t>
      </w:r>
      <w:r w:rsidR="00176974">
        <w:t>up</w:t>
      </w:r>
      <w:r w:rsidR="00BE2C9A">
        <w:t xml:space="preserve"> </w:t>
      </w:r>
      <w:r>
        <w:t>(</w:t>
      </w:r>
      <w:r w:rsidR="00176974">
        <w:t>+0.48</w:t>
      </w:r>
      <w:r w:rsidR="00867FD2">
        <w:t>%</w:t>
      </w:r>
      <w:r>
        <w:t>) and Australia</w:t>
      </w:r>
      <w:r w:rsidR="00037BFE">
        <w:t>n Bonds</w:t>
      </w:r>
      <w:r>
        <w:t xml:space="preserve"> end</w:t>
      </w:r>
      <w:r w:rsidR="002720B5">
        <w:t>ed</w:t>
      </w:r>
      <w:r>
        <w:t xml:space="preserve"> </w:t>
      </w:r>
      <w:r w:rsidR="00176974">
        <w:t>up</w:t>
      </w:r>
      <w:r w:rsidR="00867FD2">
        <w:t xml:space="preserve"> </w:t>
      </w:r>
      <w:r>
        <w:t>(</w:t>
      </w:r>
      <w:r w:rsidR="00176974">
        <w:t>+0.39</w:t>
      </w:r>
      <w:r w:rsidR="00A94C92">
        <w:t>%</w:t>
      </w:r>
      <w:r>
        <w:t>) for the month</w:t>
      </w:r>
      <w:r w:rsidR="00B6686A">
        <w:t xml:space="preserve"> of </w:t>
      </w:r>
      <w:r w:rsidR="00176974">
        <w:t>May</w:t>
      </w:r>
      <w:r w:rsidR="00E54896">
        <w:t>l</w:t>
      </w:r>
      <w:r w:rsidR="002F59EA">
        <w:t xml:space="preserve"> </w:t>
      </w:r>
      <w:r w:rsidR="00AA627D">
        <w:t>202</w:t>
      </w:r>
      <w:r w:rsidR="00A24C96">
        <w:t>4</w:t>
      </w:r>
      <w:r w:rsidR="0049196F">
        <w:t xml:space="preserve"> </w:t>
      </w:r>
      <w:r w:rsidR="00037BFE">
        <w:t>and</w:t>
      </w:r>
      <w:r w:rsidR="0049196F">
        <w:t xml:space="preserve"> </w:t>
      </w:r>
      <w:r w:rsidR="001846E3">
        <w:t>down</w:t>
      </w:r>
      <w:r w:rsidR="00763854">
        <w:t xml:space="preserve"> </w:t>
      </w:r>
      <w:r w:rsidR="0049196F">
        <w:t>(</w:t>
      </w:r>
      <w:r w:rsidR="001846E3">
        <w:t>-</w:t>
      </w:r>
      <w:r w:rsidR="00176974">
        <w:t>0.61</w:t>
      </w:r>
      <w:r w:rsidR="0058031F">
        <w:t>%</w:t>
      </w:r>
      <w:r w:rsidR="0049196F">
        <w:t>) and</w:t>
      </w:r>
      <w:r w:rsidR="00AB090A">
        <w:t xml:space="preserve"> </w:t>
      </w:r>
      <w:r w:rsidR="0049196F">
        <w:t>(</w:t>
      </w:r>
      <w:r w:rsidR="00E54896">
        <w:t>-</w:t>
      </w:r>
      <w:r w:rsidR="00176974">
        <w:t>0.50</w:t>
      </w:r>
      <w:r w:rsidR="0049196F">
        <w:t xml:space="preserve">%) respectively for the </w:t>
      </w:r>
      <w:r w:rsidR="00B6686A">
        <w:t xml:space="preserve">previous three </w:t>
      </w:r>
      <w:r w:rsidR="0049196F">
        <w:t>month</w:t>
      </w:r>
      <w:r w:rsidR="00B6686A">
        <w:t>s</w:t>
      </w:r>
      <w:r w:rsidR="0049196F">
        <w:t>.</w:t>
      </w:r>
      <w:r w:rsidR="009E7EF6">
        <w:t xml:space="preserve"> </w:t>
      </w:r>
    </w:p>
    <w:p w14:paraId="570C9ACA" w14:textId="1B45E41B" w:rsidR="00455665" w:rsidRDefault="000B03C8" w:rsidP="00037046">
      <w:pPr>
        <w:spacing w:before="120" w:after="120"/>
      </w:pPr>
      <w:r>
        <w:t xml:space="preserve">The RBA </w:t>
      </w:r>
      <w:r w:rsidR="008F5FF7">
        <w:t>left</w:t>
      </w:r>
      <w:r w:rsidR="00892EB2">
        <w:t xml:space="preserve"> the </w:t>
      </w:r>
      <w:r w:rsidRPr="003B5C51">
        <w:rPr>
          <w:b/>
          <w:bCs/>
        </w:rPr>
        <w:t xml:space="preserve">target cash rate </w:t>
      </w:r>
      <w:r w:rsidR="008F5FF7">
        <w:rPr>
          <w:b/>
          <w:bCs/>
        </w:rPr>
        <w:t>at</w:t>
      </w:r>
      <w:r w:rsidR="00892EB2">
        <w:rPr>
          <w:b/>
          <w:bCs/>
        </w:rPr>
        <w:t xml:space="preserve"> </w:t>
      </w:r>
      <w:r w:rsidR="00D72327">
        <w:rPr>
          <w:b/>
          <w:bCs/>
        </w:rPr>
        <w:t>4.</w:t>
      </w:r>
      <w:r w:rsidR="00892EB2">
        <w:rPr>
          <w:b/>
          <w:bCs/>
        </w:rPr>
        <w:t>35</w:t>
      </w:r>
      <w:r w:rsidRPr="003B5C51">
        <w:rPr>
          <w:b/>
          <w:bCs/>
        </w:rPr>
        <w:t>%</w:t>
      </w:r>
      <w:r>
        <w:t xml:space="preserve"> </w:t>
      </w:r>
      <w:r w:rsidR="006C7AED">
        <w:t>follow</w:t>
      </w:r>
      <w:r>
        <w:t xml:space="preserve">ing the </w:t>
      </w:r>
      <w:r w:rsidR="00E54896">
        <w:t>7</w:t>
      </w:r>
      <w:r w:rsidR="001846E3" w:rsidRPr="001846E3">
        <w:rPr>
          <w:vertAlign w:val="superscript"/>
        </w:rPr>
        <w:t>th of</w:t>
      </w:r>
      <w:r w:rsidR="001846E3">
        <w:t xml:space="preserve"> Ma</w:t>
      </w:r>
      <w:r w:rsidR="00E54896">
        <w:t>y</w:t>
      </w:r>
      <w:r>
        <w:t xml:space="preserve"> </w:t>
      </w:r>
      <w:r w:rsidR="00781A24">
        <w:t>202</w:t>
      </w:r>
      <w:r w:rsidR="00A24C96">
        <w:t>4</w:t>
      </w:r>
      <w:r w:rsidR="00781A24">
        <w:t xml:space="preserve"> </w:t>
      </w:r>
      <w:r>
        <w:t xml:space="preserve">board </w:t>
      </w:r>
      <w:r w:rsidR="00AB090A">
        <w:t>meeting</w:t>
      </w:r>
      <w:r w:rsidR="00A653E3">
        <w:t xml:space="preserve"> and </w:t>
      </w:r>
      <w:r w:rsidR="003B5C51">
        <w:t>stated that</w:t>
      </w:r>
      <w:r w:rsidR="00AB090A">
        <w:t>:</w:t>
      </w:r>
      <w:r>
        <w:t xml:space="preserve"> </w:t>
      </w:r>
      <w:r w:rsidR="00455665">
        <w:t xml:space="preserve"> </w:t>
      </w:r>
    </w:p>
    <w:p w14:paraId="3532227A" w14:textId="77777777" w:rsidR="00E54896" w:rsidRPr="00E54896" w:rsidRDefault="00092751" w:rsidP="00E54896">
      <w:pPr>
        <w:spacing w:before="120" w:after="120"/>
        <w:ind w:left="720"/>
        <w:rPr>
          <w:rFonts w:ascii="Calibri" w:hAnsi="Calibri" w:cs="Calibri"/>
          <w:i/>
          <w:iCs/>
          <w:color w:val="222222"/>
          <w:sz w:val="24"/>
          <w:szCs w:val="24"/>
          <w:shd w:val="clear" w:color="auto" w:fill="FFFFFF"/>
        </w:rPr>
      </w:pPr>
      <w:r w:rsidRPr="00BC0D96">
        <w:rPr>
          <w:rFonts w:ascii="Calibri" w:hAnsi="Calibri" w:cs="Calibri"/>
          <w:i/>
          <w:iCs/>
          <w:color w:val="222222"/>
          <w:sz w:val="24"/>
          <w:szCs w:val="24"/>
          <w:shd w:val="clear" w:color="auto" w:fill="FFFFFF"/>
        </w:rPr>
        <w:t>“</w:t>
      </w:r>
      <w:r w:rsidR="00E54896" w:rsidRPr="00E54896">
        <w:rPr>
          <w:rFonts w:ascii="Calibri" w:hAnsi="Calibri" w:cs="Calibri"/>
          <w:i/>
          <w:iCs/>
          <w:color w:val="222222"/>
          <w:sz w:val="24"/>
          <w:szCs w:val="24"/>
          <w:shd w:val="clear" w:color="auto" w:fill="FFFFFF"/>
        </w:rPr>
        <w:t>The Board expects it will be some time before inflation is sustainably low and stable. Keeping the cash rate at the current level is important to reduce inflationary pressures.</w:t>
      </w:r>
    </w:p>
    <w:p w14:paraId="09D60DB0" w14:textId="434BB354" w:rsidR="00092751" w:rsidRDefault="00E54896" w:rsidP="00E54896">
      <w:pPr>
        <w:spacing w:before="120" w:after="120"/>
        <w:ind w:left="720"/>
      </w:pPr>
      <w:r w:rsidRPr="00E54896">
        <w:rPr>
          <w:rFonts w:ascii="Calibri" w:hAnsi="Calibri" w:cs="Calibri"/>
          <w:i/>
          <w:iCs/>
          <w:color w:val="222222"/>
          <w:sz w:val="24"/>
          <w:szCs w:val="24"/>
          <w:shd w:val="clear" w:color="auto" w:fill="FFFFFF"/>
        </w:rPr>
        <w:t>This decision supports the objectives of bringing inflation to target and the labour market to levels consistent with full employment. The path to return inflation to target will be bumpy. How interest rates evolve from here is uncertain and the Board is watching developments in Australia and overseas closely. The Board remains vigilant to the risk of continued high inflation and is not ruling anything in or out</w:t>
      </w:r>
      <w:r w:rsidR="00092751" w:rsidRPr="00BC0D96">
        <w:rPr>
          <w:rFonts w:ascii="Calibri" w:hAnsi="Calibri" w:cs="Calibri"/>
          <w:i/>
          <w:iCs/>
          <w:color w:val="222222"/>
          <w:sz w:val="24"/>
          <w:szCs w:val="24"/>
          <w:shd w:val="clear" w:color="auto" w:fill="FFFFFF"/>
        </w:rPr>
        <w:t>.”</w:t>
      </w:r>
    </w:p>
    <w:p w14:paraId="05D6E233" w14:textId="3C16C1D2" w:rsidR="00892EB2" w:rsidRPr="007E048D" w:rsidRDefault="00892EB2" w:rsidP="00892EB2">
      <w:pPr>
        <w:spacing w:before="0" w:after="0" w:line="360" w:lineRule="auto"/>
        <w:ind w:left="720"/>
        <w:rPr>
          <w:rFonts w:ascii="Calibri" w:hAnsi="Calibri" w:cs="Calibri"/>
          <w:i/>
          <w:iCs/>
          <w:color w:val="222222"/>
          <w:shd w:val="clear" w:color="auto" w:fill="FFFFFF"/>
        </w:rPr>
      </w:pPr>
      <w:bookmarkStart w:id="4" w:name="_Hlk163814096"/>
      <w:r w:rsidRPr="007E048D">
        <w:rPr>
          <w:rFonts w:ascii="Calibri" w:hAnsi="Calibri" w:cs="Calibri"/>
          <w:i/>
          <w:iCs/>
          <w:color w:val="222222"/>
          <w:shd w:val="clear" w:color="auto" w:fill="FFFFFF"/>
        </w:rPr>
        <w:t xml:space="preserve">Michelle Bullock, Governor, RBA Monetary Policy Board meeting, </w:t>
      </w:r>
      <w:r w:rsidR="00E54896">
        <w:rPr>
          <w:rFonts w:ascii="Calibri" w:hAnsi="Calibri" w:cs="Calibri"/>
          <w:i/>
          <w:iCs/>
          <w:color w:val="222222"/>
          <w:shd w:val="clear" w:color="auto" w:fill="FFFFFF"/>
        </w:rPr>
        <w:t>7</w:t>
      </w:r>
      <w:r w:rsidR="006C0F3A" w:rsidRPr="007E048D">
        <w:rPr>
          <w:rFonts w:ascii="Calibri" w:hAnsi="Calibri" w:cs="Calibri"/>
          <w:i/>
          <w:iCs/>
          <w:color w:val="222222"/>
          <w:shd w:val="clear" w:color="auto" w:fill="FFFFFF"/>
          <w:vertAlign w:val="superscript"/>
        </w:rPr>
        <w:t>th</w:t>
      </w:r>
      <w:r w:rsidR="006C0F3A" w:rsidRPr="007E048D">
        <w:rPr>
          <w:rFonts w:ascii="Calibri" w:hAnsi="Calibri" w:cs="Calibri"/>
          <w:i/>
          <w:iCs/>
          <w:color w:val="222222"/>
          <w:shd w:val="clear" w:color="auto" w:fill="FFFFFF"/>
        </w:rPr>
        <w:t xml:space="preserve"> </w:t>
      </w:r>
      <w:r w:rsidR="00642822" w:rsidRPr="007E048D">
        <w:rPr>
          <w:rFonts w:ascii="Calibri" w:hAnsi="Calibri" w:cs="Calibri"/>
          <w:i/>
          <w:iCs/>
          <w:color w:val="222222"/>
          <w:shd w:val="clear" w:color="auto" w:fill="FFFFFF"/>
        </w:rPr>
        <w:t>Ma</w:t>
      </w:r>
      <w:r w:rsidR="00E54896">
        <w:rPr>
          <w:rFonts w:ascii="Calibri" w:hAnsi="Calibri" w:cs="Calibri"/>
          <w:i/>
          <w:iCs/>
          <w:color w:val="222222"/>
          <w:shd w:val="clear" w:color="auto" w:fill="FFFFFF"/>
        </w:rPr>
        <w:t>y</w:t>
      </w:r>
      <w:r w:rsidRPr="007E048D">
        <w:rPr>
          <w:rFonts w:ascii="Calibri" w:hAnsi="Calibri" w:cs="Calibri"/>
          <w:i/>
          <w:iCs/>
          <w:color w:val="222222"/>
          <w:shd w:val="clear" w:color="auto" w:fill="FFFFFF"/>
        </w:rPr>
        <w:t xml:space="preserve"> 202</w:t>
      </w:r>
      <w:r w:rsidR="00A24C96" w:rsidRPr="007E048D">
        <w:rPr>
          <w:rFonts w:ascii="Calibri" w:hAnsi="Calibri" w:cs="Calibri"/>
          <w:i/>
          <w:iCs/>
          <w:color w:val="222222"/>
          <w:shd w:val="clear" w:color="auto" w:fill="FFFFFF"/>
        </w:rPr>
        <w:t>4</w:t>
      </w:r>
      <w:r w:rsidRPr="007E048D">
        <w:rPr>
          <w:rFonts w:ascii="Calibri" w:hAnsi="Calibri" w:cs="Calibri"/>
          <w:i/>
          <w:iCs/>
          <w:color w:val="222222"/>
          <w:shd w:val="clear" w:color="auto" w:fill="FFFFFF"/>
        </w:rPr>
        <w:t>.</w:t>
      </w:r>
    </w:p>
    <w:bookmarkEnd w:id="4"/>
    <w:p w14:paraId="1AD31197" w14:textId="161CCD29" w:rsidR="00AB090A" w:rsidRDefault="00A128A7" w:rsidP="00E418B6">
      <w:pPr>
        <w:spacing w:before="120" w:after="120"/>
      </w:pPr>
      <w:r w:rsidRPr="00A128A7">
        <w:lastRenderedPageBreak/>
        <w:t>The US Federal Reserve Bank (</w:t>
      </w:r>
      <w:r w:rsidR="00EB7825">
        <w:t>t</w:t>
      </w:r>
      <w:r w:rsidRPr="00A128A7">
        <w:t xml:space="preserve">he Fed) </w:t>
      </w:r>
      <w:r w:rsidR="006237DD">
        <w:t>kept</w:t>
      </w:r>
      <w:r w:rsidR="0034094D">
        <w:t xml:space="preserve"> their monetary policy </w:t>
      </w:r>
      <w:r w:rsidR="00D72327">
        <w:t xml:space="preserve">measures </w:t>
      </w:r>
      <w:r w:rsidR="006237DD">
        <w:t>on</w:t>
      </w:r>
      <w:r w:rsidR="00D72327">
        <w:t xml:space="preserve"> </w:t>
      </w:r>
      <w:r w:rsidR="0034094D">
        <w:t>hold</w:t>
      </w:r>
      <w:r w:rsidR="006237DD">
        <w:t xml:space="preserve"> by maintaining</w:t>
      </w:r>
      <w:r w:rsidRPr="00A128A7">
        <w:t xml:space="preserve"> the target range for </w:t>
      </w:r>
      <w:r w:rsidRPr="00A128A7">
        <w:rPr>
          <w:b/>
          <w:bCs/>
        </w:rPr>
        <w:t>federal funds</w:t>
      </w:r>
      <w:r w:rsidR="00E418B6">
        <w:rPr>
          <w:b/>
          <w:bCs/>
        </w:rPr>
        <w:t xml:space="preserve"> </w:t>
      </w:r>
      <w:r w:rsidR="006237DD">
        <w:rPr>
          <w:b/>
          <w:bCs/>
        </w:rPr>
        <w:t>at</w:t>
      </w:r>
      <w:r w:rsidR="000400CD">
        <w:rPr>
          <w:b/>
          <w:bCs/>
        </w:rPr>
        <w:t xml:space="preserve"> </w:t>
      </w:r>
      <w:r w:rsidR="009B1992">
        <w:rPr>
          <w:b/>
          <w:bCs/>
        </w:rPr>
        <w:t>5</w:t>
      </w:r>
      <w:r w:rsidR="002A02F8">
        <w:rPr>
          <w:b/>
          <w:bCs/>
        </w:rPr>
        <w:t>.</w:t>
      </w:r>
      <w:r w:rsidR="009A749F">
        <w:rPr>
          <w:b/>
          <w:bCs/>
        </w:rPr>
        <w:t>25</w:t>
      </w:r>
      <w:r w:rsidRPr="00A128A7">
        <w:rPr>
          <w:b/>
          <w:bCs/>
        </w:rPr>
        <w:t xml:space="preserve">% to </w:t>
      </w:r>
      <w:r w:rsidR="00DD07EB">
        <w:rPr>
          <w:b/>
          <w:bCs/>
        </w:rPr>
        <w:t>5</w:t>
      </w:r>
      <w:r w:rsidR="009B1992">
        <w:rPr>
          <w:b/>
          <w:bCs/>
        </w:rPr>
        <w:t>.</w:t>
      </w:r>
      <w:r w:rsidR="002A02F8">
        <w:rPr>
          <w:b/>
          <w:bCs/>
        </w:rPr>
        <w:t>5</w:t>
      </w:r>
      <w:r w:rsidR="009A749F">
        <w:rPr>
          <w:b/>
          <w:bCs/>
        </w:rPr>
        <w:t>0</w:t>
      </w:r>
      <w:r w:rsidRPr="00A128A7">
        <w:rPr>
          <w:b/>
          <w:bCs/>
        </w:rPr>
        <w:t>%</w:t>
      </w:r>
      <w:r w:rsidRPr="00A128A7">
        <w:t xml:space="preserve"> </w:t>
      </w:r>
      <w:r w:rsidR="00F43A7D" w:rsidRPr="00A128A7">
        <w:t>on</w:t>
      </w:r>
      <w:r w:rsidRPr="00A128A7">
        <w:t xml:space="preserve"> the </w:t>
      </w:r>
      <w:r w:rsidR="00784097">
        <w:t>12</w:t>
      </w:r>
      <w:r w:rsidR="00784097" w:rsidRPr="00EA33BB">
        <w:rPr>
          <w:vertAlign w:val="superscript"/>
        </w:rPr>
        <w:t>th of</w:t>
      </w:r>
      <w:r w:rsidR="00EA33BB">
        <w:t xml:space="preserve"> June</w:t>
      </w:r>
      <w:r w:rsidR="00E3116F">
        <w:t xml:space="preserve"> 202</w:t>
      </w:r>
      <w:r w:rsidR="006237DD">
        <w:t>4</w:t>
      </w:r>
      <w:r w:rsidRPr="00A128A7">
        <w:t xml:space="preserve"> meeting. </w:t>
      </w:r>
      <w:r w:rsidR="00E418B6" w:rsidRPr="00E418B6">
        <w:t xml:space="preserve">In addition, the Committee </w:t>
      </w:r>
      <w:r w:rsidR="00385571">
        <w:t>will</w:t>
      </w:r>
      <w:r w:rsidR="000400CD">
        <w:t xml:space="preserve"> continue</w:t>
      </w:r>
      <w:r w:rsidR="00E418B6" w:rsidRPr="00E418B6">
        <w:t xml:space="preserve"> reducing its holdings of Treasury securities and agency debt and agency mortgage-backed securities</w:t>
      </w:r>
      <w:r w:rsidR="000400CD">
        <w:t>.</w:t>
      </w:r>
    </w:p>
    <w:p w14:paraId="593CB94C" w14:textId="6E38D1D9" w:rsidR="007A5EA0" w:rsidRDefault="007A5EA0" w:rsidP="00354CB7">
      <w:pPr>
        <w:spacing w:before="120" w:after="120"/>
      </w:pPr>
      <w:r w:rsidRPr="007A5EA0">
        <w:t>The US 10-year Government bonds closed at (</w:t>
      </w:r>
      <w:r w:rsidR="00BE2C9A">
        <w:t>4.</w:t>
      </w:r>
      <w:r w:rsidR="00EA33BB">
        <w:t>503</w:t>
      </w:r>
      <w:r w:rsidRPr="007A5EA0">
        <w:t xml:space="preserve">%) for the </w:t>
      </w:r>
      <w:r w:rsidR="00C175CC">
        <w:t>month</w:t>
      </w:r>
      <w:r w:rsidRPr="007A5EA0">
        <w:t xml:space="preserve"> </w:t>
      </w:r>
      <w:r w:rsidR="00EA33BB">
        <w:t>down</w:t>
      </w:r>
      <w:r w:rsidRPr="007A5EA0">
        <w:t xml:space="preserve"> in yield (</w:t>
      </w:r>
      <w:r w:rsidR="00EA33BB">
        <w:t>-0.179</w:t>
      </w:r>
      <w:r w:rsidRPr="007A5EA0">
        <w:t xml:space="preserve">%) from the previous </w:t>
      </w:r>
      <w:r>
        <w:t>month</w:t>
      </w:r>
      <w:r w:rsidRPr="007A5EA0">
        <w:t xml:space="preserve"> close of </w:t>
      </w:r>
      <w:r w:rsidR="002F043F">
        <w:t>(</w:t>
      </w:r>
      <w:r w:rsidR="00092751">
        <w:t>4.</w:t>
      </w:r>
      <w:r w:rsidR="00EA33BB">
        <w:t>682</w:t>
      </w:r>
      <w:r w:rsidRPr="007A5EA0">
        <w:t xml:space="preserve">%). </w:t>
      </w:r>
    </w:p>
    <w:p w14:paraId="7B169699" w14:textId="164A7E11" w:rsidR="007A5EA0" w:rsidRPr="00D341D7" w:rsidRDefault="007A5EA0" w:rsidP="007A5EA0">
      <w:pPr>
        <w:spacing w:before="120" w:after="120" w:line="240" w:lineRule="auto"/>
      </w:pPr>
      <w:r w:rsidRPr="00D341D7">
        <w:t xml:space="preserve">The Australian Government 10-year bonds finished </w:t>
      </w:r>
      <w:r w:rsidR="00EA33BB">
        <w:t>lower</w:t>
      </w:r>
      <w:r w:rsidRPr="00D341D7">
        <w:t xml:space="preserve"> in yield in</w:t>
      </w:r>
      <w:r w:rsidR="00767F50">
        <w:t xml:space="preserve"> </w:t>
      </w:r>
      <w:r w:rsidR="00EA33BB">
        <w:t>May</w:t>
      </w:r>
      <w:r w:rsidRPr="00D341D7">
        <w:t xml:space="preserve"> 202</w:t>
      </w:r>
      <w:r w:rsidR="00EB3A29">
        <w:t>4</w:t>
      </w:r>
      <w:r w:rsidRPr="00D341D7">
        <w:t xml:space="preserve"> at (</w:t>
      </w:r>
      <w:r w:rsidR="00EB3A29">
        <w:t>4.</w:t>
      </w:r>
      <w:r w:rsidR="00F22740">
        <w:t>3</w:t>
      </w:r>
      <w:r w:rsidR="00EA33BB">
        <w:t>99</w:t>
      </w:r>
      <w:r w:rsidRPr="00D341D7">
        <w:t xml:space="preserve">%) </w:t>
      </w:r>
      <w:r w:rsidR="00EA33BB">
        <w:t>down</w:t>
      </w:r>
      <w:r w:rsidR="00702885">
        <w:t xml:space="preserve"> </w:t>
      </w:r>
      <w:r w:rsidR="00C175CC">
        <w:t xml:space="preserve">in yield </w:t>
      </w:r>
      <w:r w:rsidRPr="00D341D7">
        <w:t>(</w:t>
      </w:r>
      <w:r w:rsidR="00EA33BB">
        <w:t>-0.134</w:t>
      </w:r>
      <w:r w:rsidRPr="00D341D7">
        <w:t>) from (</w:t>
      </w:r>
      <w:r w:rsidR="00BE2C9A">
        <w:t>4.</w:t>
      </w:r>
      <w:r w:rsidR="00EA33BB">
        <w:t>533</w:t>
      </w:r>
      <w:r w:rsidRPr="00D341D7">
        <w:t xml:space="preserve">%) in </w:t>
      </w:r>
      <w:r w:rsidR="00F22740">
        <w:t>March</w:t>
      </w:r>
      <w:r w:rsidRPr="00D341D7">
        <w:t xml:space="preserve"> 202</w:t>
      </w:r>
      <w:r w:rsidR="00BE2C9A">
        <w:t>4</w:t>
      </w:r>
      <w:r w:rsidRPr="00D341D7">
        <w:t xml:space="preserve">. </w:t>
      </w:r>
    </w:p>
    <w:p w14:paraId="2FF27718" w14:textId="41E37A22" w:rsidR="009E7EF6" w:rsidRDefault="00EA33BB" w:rsidP="009E7EF6">
      <w:pPr>
        <w:spacing w:before="120" w:after="120"/>
        <w:jc w:val="center"/>
      </w:pPr>
      <w:r w:rsidRPr="00EA33BB">
        <w:rPr>
          <w:noProof/>
        </w:rPr>
        <w:drawing>
          <wp:inline distT="0" distB="0" distL="0" distR="0" wp14:anchorId="3FC53AB0" wp14:editId="70031903">
            <wp:extent cx="4362450" cy="1638300"/>
            <wp:effectExtent l="0" t="0" r="0" b="0"/>
            <wp:docPr id="8658932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62450" cy="1638300"/>
                    </a:xfrm>
                    <a:prstGeom prst="rect">
                      <a:avLst/>
                    </a:prstGeom>
                    <a:noFill/>
                    <a:ln>
                      <a:noFill/>
                    </a:ln>
                  </pic:spPr>
                </pic:pic>
              </a:graphicData>
            </a:graphic>
          </wp:inline>
        </w:drawing>
      </w:r>
    </w:p>
    <w:p w14:paraId="03CFA4CC" w14:textId="41162F40" w:rsidR="009E7EF6" w:rsidRPr="00A70A09" w:rsidRDefault="009E7EF6" w:rsidP="009E7EF6">
      <w:pPr>
        <w:jc w:val="center"/>
        <w:rPr>
          <w:sz w:val="18"/>
        </w:rPr>
      </w:pPr>
      <w:r w:rsidRPr="00A70A09">
        <w:rPr>
          <w:sz w:val="18"/>
        </w:rPr>
        <w:t xml:space="preserve">Source data: Lonsec as </w:t>
      </w:r>
      <w:r w:rsidR="0023164B" w:rsidRPr="00A70A09">
        <w:rPr>
          <w:sz w:val="18"/>
        </w:rPr>
        <w:t>of</w:t>
      </w:r>
      <w:r w:rsidRPr="00A70A09">
        <w:rPr>
          <w:sz w:val="18"/>
        </w:rPr>
        <w:t xml:space="preserve"> </w:t>
      </w:r>
      <w:r w:rsidR="00092751">
        <w:rPr>
          <w:sz w:val="18"/>
        </w:rPr>
        <w:t>3</w:t>
      </w:r>
      <w:r w:rsidR="00EA33BB">
        <w:rPr>
          <w:sz w:val="18"/>
        </w:rPr>
        <w:t>1</w:t>
      </w:r>
      <w:r w:rsidR="00EA33BB" w:rsidRPr="00EA33BB">
        <w:rPr>
          <w:sz w:val="18"/>
          <w:vertAlign w:val="superscript"/>
        </w:rPr>
        <w:t>st</w:t>
      </w:r>
      <w:r w:rsidR="00EA33BB">
        <w:rPr>
          <w:sz w:val="18"/>
        </w:rPr>
        <w:t xml:space="preserve"> May</w:t>
      </w:r>
      <w:r w:rsidR="009B1992">
        <w:rPr>
          <w:sz w:val="18"/>
        </w:rPr>
        <w:t xml:space="preserve"> </w:t>
      </w:r>
      <w:r w:rsidR="00AA627D">
        <w:rPr>
          <w:sz w:val="18"/>
        </w:rPr>
        <w:t>202</w:t>
      </w:r>
      <w:r w:rsidR="000D513F">
        <w:rPr>
          <w:sz w:val="18"/>
        </w:rPr>
        <w:t>4</w:t>
      </w:r>
    </w:p>
    <w:p w14:paraId="0988FFF2" w14:textId="77777777" w:rsidR="009E7EF6" w:rsidRPr="002C183C" w:rsidRDefault="009E7EF6" w:rsidP="00A70A09">
      <w:pPr>
        <w:pStyle w:val="Heading2"/>
        <w:spacing w:before="0" w:after="0"/>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Currency</w:t>
      </w:r>
    </w:p>
    <w:p w14:paraId="67CFAFAB" w14:textId="11CF9567" w:rsidR="009E7EF6" w:rsidRDefault="009E7EF6" w:rsidP="00A70A09">
      <w:pPr>
        <w:spacing w:before="0" w:after="0"/>
      </w:pPr>
      <w:r>
        <w:t xml:space="preserve">The </w:t>
      </w:r>
      <w:r w:rsidR="00590B4A">
        <w:t>$</w:t>
      </w:r>
      <w:r>
        <w:t xml:space="preserve">A closed </w:t>
      </w:r>
      <w:r w:rsidR="00F61D2D">
        <w:t>weak</w:t>
      </w:r>
      <w:r w:rsidR="009452BE">
        <w:t>er</w:t>
      </w:r>
      <w:r w:rsidR="009B1992">
        <w:t xml:space="preserve"> </w:t>
      </w:r>
      <w:r w:rsidR="00590B4A">
        <w:t xml:space="preserve">AUD/USD </w:t>
      </w:r>
      <w:r>
        <w:t>0.</w:t>
      </w:r>
      <w:r w:rsidR="003638C4">
        <w:t>6</w:t>
      </w:r>
      <w:r w:rsidR="00A72332">
        <w:t>637</w:t>
      </w:r>
      <w:r>
        <w:t xml:space="preserve"> at the end of </w:t>
      </w:r>
      <w:r w:rsidR="00A72332">
        <w:t>May</w:t>
      </w:r>
      <w:r w:rsidR="00AA627D">
        <w:t xml:space="preserve"> 202</w:t>
      </w:r>
      <w:r w:rsidR="000D513F">
        <w:t>4</w:t>
      </w:r>
      <w:r>
        <w:t xml:space="preserve"> which </w:t>
      </w:r>
      <w:r w:rsidR="00A72332">
        <w:t>reduced returns for</w:t>
      </w:r>
      <w:r>
        <w:t xml:space="preserve"> investors who held offshore assets unhedged (</w:t>
      </w:r>
      <w:r w:rsidR="00A72332">
        <w:t>-1.72</w:t>
      </w:r>
      <w:r>
        <w:t xml:space="preserve">%) over the </w:t>
      </w:r>
      <w:r w:rsidR="00CE6ADD">
        <w:t xml:space="preserve">month </w:t>
      </w:r>
      <w:r w:rsidR="00DE0182">
        <w:t>and</w:t>
      </w:r>
      <w:r w:rsidR="00CA7193">
        <w:t xml:space="preserve"> </w:t>
      </w:r>
      <w:r w:rsidR="00A72332">
        <w:t>cost</w:t>
      </w:r>
      <w:r w:rsidR="009452BE">
        <w:t xml:space="preserve"> them </w:t>
      </w:r>
      <w:r w:rsidR="00CE6ADD">
        <w:t>(</w:t>
      </w:r>
      <w:r w:rsidR="00A72332">
        <w:t>-1.81</w:t>
      </w:r>
      <w:r w:rsidR="00CE6ADD">
        <w:t>%</w:t>
      </w:r>
      <w:r w:rsidR="0088021D">
        <w:t>)</w:t>
      </w:r>
      <w:r w:rsidR="00CE6ADD">
        <w:t xml:space="preserve"> </w:t>
      </w:r>
      <w:r w:rsidR="0088021D">
        <w:t xml:space="preserve">over the </w:t>
      </w:r>
      <w:r>
        <w:t>last three months.</w:t>
      </w:r>
    </w:p>
    <w:p w14:paraId="61BE8DE3" w14:textId="75721781" w:rsidR="004D2D2C" w:rsidRDefault="007F4CD0" w:rsidP="004D2D2C">
      <w:pPr>
        <w:jc w:val="center"/>
      </w:pPr>
      <w:r>
        <w:rPr>
          <w:noProof/>
        </w:rPr>
        <w:lastRenderedPageBreak/>
        <mc:AlternateContent>
          <mc:Choice Requires="wps">
            <w:drawing>
              <wp:anchor distT="45720" distB="45720" distL="114300" distR="114300" simplePos="0" relativeHeight="251659264" behindDoc="0" locked="0" layoutInCell="1" allowOverlap="1" wp14:anchorId="7430CB9B" wp14:editId="11AB5895">
                <wp:simplePos x="0" y="0"/>
                <wp:positionH relativeFrom="column">
                  <wp:posOffset>3067050</wp:posOffset>
                </wp:positionH>
                <wp:positionV relativeFrom="paragraph">
                  <wp:posOffset>234315</wp:posOffset>
                </wp:positionV>
                <wp:extent cx="2272030" cy="1812290"/>
                <wp:effectExtent l="9525" t="5715" r="13970" b="10795"/>
                <wp:wrapSquare wrapText="bothSides"/>
                <wp:docPr id="1348992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1812290"/>
                        </a:xfrm>
                        <a:prstGeom prst="rect">
                          <a:avLst/>
                        </a:prstGeom>
                        <a:solidFill>
                          <a:srgbClr val="FFFFFF"/>
                        </a:solidFill>
                        <a:ln w="9525">
                          <a:solidFill>
                            <a:srgbClr val="000000"/>
                          </a:solidFill>
                          <a:miter lim="800000"/>
                          <a:headEnd/>
                          <a:tailEnd/>
                        </a:ln>
                      </wps:spPr>
                      <wps:txbx>
                        <w:txbxContent>
                          <w:p w14:paraId="06B05BDF" w14:textId="77777777" w:rsidR="009B70AF" w:rsidRDefault="00D63481" w:rsidP="00D63481">
                            <w:pPr>
                              <w:spacing w:before="0"/>
                            </w:pPr>
                            <w:r w:rsidRPr="008F12F3">
                              <w:t>Currency forecasters see the AUD/USD range between</w:t>
                            </w:r>
                            <w:r w:rsidR="009B70AF">
                              <w:t>:</w:t>
                            </w:r>
                          </w:p>
                          <w:p w14:paraId="1A5A1DBC" w14:textId="77777777" w:rsidR="009B70AF" w:rsidRDefault="00D63481" w:rsidP="00D63481">
                            <w:pPr>
                              <w:spacing w:before="0"/>
                            </w:pPr>
                            <w:r w:rsidRPr="00D63481">
                              <w:rPr>
                                <w:b/>
                                <w:bCs/>
                              </w:rPr>
                              <w:t>0.6250 and 0.7250</w:t>
                            </w:r>
                            <w:r w:rsidRPr="008F12F3">
                              <w:t xml:space="preserve"> cents in the medium term</w:t>
                            </w:r>
                            <w:r>
                              <w:t xml:space="preserve"> and most likely to trade within the</w:t>
                            </w:r>
                            <w:r w:rsidR="009B70AF">
                              <w:t>:</w:t>
                            </w:r>
                          </w:p>
                          <w:p w14:paraId="6A711360" w14:textId="0E337FEE" w:rsidR="00D63481" w:rsidRDefault="00D63481" w:rsidP="00D63481">
                            <w:pPr>
                              <w:spacing w:before="0"/>
                            </w:pPr>
                            <w:r w:rsidRPr="00D63481">
                              <w:rPr>
                                <w:b/>
                                <w:bCs/>
                              </w:rPr>
                              <w:t>0.5500 to 0.7500</w:t>
                            </w:r>
                            <w:r>
                              <w:t xml:space="preserve"> range in the longer term.</w:t>
                            </w:r>
                          </w:p>
                          <w:p w14:paraId="25E5B1F4" w14:textId="2C6AE7D6" w:rsidR="009452BE" w:rsidRDefault="009452BE"/>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7430CB9B" id="_x0000_t202" coordsize="21600,21600" o:spt="202" path="m,l,21600r21600,l21600,xe">
                <v:stroke joinstyle="miter"/>
                <v:path gradientshapeok="t" o:connecttype="rect"/>
              </v:shapetype>
              <v:shape id="Text Box 2" o:spid="_x0000_s1026" type="#_x0000_t202" style="position:absolute;left:0;text-align:left;margin-left:241.5pt;margin-top:18.45pt;width:178.9pt;height:142.7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">
                <v:textbox>
                  <w:txbxContent>
                    <w:p w14:paraId="06B05BDF" w14:textId="77777777" w:rsidR="009B70AF" w:rsidRDefault="00D63481" w:rsidP="00D63481">
                      <w:pPr>
                        <w:spacing w:before="0"/>
                      </w:pPr>
                      <w:r w:rsidRPr="008F12F3">
                        <w:t>Currency forecasters see the AUD/USD range between</w:t>
                      </w:r>
                      <w:r w:rsidR="009B70AF">
                        <w:t>:</w:t>
                      </w:r>
                    </w:p>
                    <w:p w14:paraId="1A5A1DBC" w14:textId="77777777" w:rsidR="009B70AF" w:rsidRDefault="00D63481" w:rsidP="00D63481">
                      <w:pPr>
                        <w:spacing w:before="0"/>
                      </w:pPr>
                      <w:r w:rsidRPr="00D63481">
                        <w:rPr>
                          <w:b/>
                          <w:bCs/>
                        </w:rPr>
                        <w:t>0.6250 and 0.7250</w:t>
                      </w:r>
                      <w:r w:rsidRPr="008F12F3">
                        <w:t xml:space="preserve"> cents in the medium term</w:t>
                      </w:r>
                      <w:r>
                        <w:t xml:space="preserve"> and most likely to trade within the</w:t>
                      </w:r>
                      <w:r w:rsidR="009B70AF">
                        <w:t>:</w:t>
                      </w:r>
                    </w:p>
                    <w:p w14:paraId="6A711360" w14:textId="0E337FEE" w:rsidR="00D63481" w:rsidRDefault="00D63481" w:rsidP="00D63481">
                      <w:pPr>
                        <w:spacing w:before="0"/>
                      </w:pPr>
                      <w:r w:rsidRPr="00D63481">
                        <w:rPr>
                          <w:b/>
                          <w:bCs/>
                        </w:rPr>
                        <w:t>0.5500 to 0.7500</w:t>
                      </w:r>
                      <w:r>
                        <w:t xml:space="preserve"> range in the longer term.</w:t>
                      </w:r>
                    </w:p>
                    <w:p w14:paraId="25E5B1F4" w14:textId="2C6AE7D6" w:rsidR="009452BE" w:rsidRDefault="009452BE"/>
                  </w:txbxContent>
                </v:textbox>
                <w10:wrap type="square"/>
              </v:shape>
            </w:pict>
          </mc:Fallback>
        </mc:AlternateContent>
      </w:r>
      <w:r w:rsidR="00A72332" w:rsidRPr="00A72332">
        <w:rPr>
          <w:noProof/>
        </w:rPr>
        <w:drawing>
          <wp:inline distT="0" distB="0" distL="0" distR="0" wp14:anchorId="29B2E46E" wp14:editId="7F178FE1">
            <wp:extent cx="2961879" cy="2428875"/>
            <wp:effectExtent l="0" t="0" r="0" b="0"/>
            <wp:docPr id="185814760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73560" cy="2438454"/>
                    </a:xfrm>
                    <a:prstGeom prst="rect">
                      <a:avLst/>
                    </a:prstGeom>
                    <a:noFill/>
                    <a:ln>
                      <a:noFill/>
                    </a:ln>
                  </pic:spPr>
                </pic:pic>
              </a:graphicData>
            </a:graphic>
          </wp:inline>
        </w:drawing>
      </w:r>
    </w:p>
    <w:p w14:paraId="178A1257" w14:textId="77777777" w:rsidR="009E7EF6" w:rsidRPr="008275F0" w:rsidRDefault="009E7EF6" w:rsidP="006B4F76">
      <w:pPr>
        <w:pStyle w:val="Heading2"/>
        <w:spacing w:before="0"/>
        <w:rPr>
          <w:rFonts w:asciiTheme="minorHAnsi" w:eastAsiaTheme="minorEastAsia" w:hAnsiTheme="minorHAnsi" w:cstheme="minorBidi"/>
          <w:iCs w:val="0"/>
          <w:color w:val="414042" w:themeColor="text1"/>
          <w:sz w:val="22"/>
          <w:lang w:val="en-AU" w:bidi="ar-SA"/>
        </w:rPr>
      </w:pPr>
      <w:r w:rsidRPr="008275F0">
        <w:rPr>
          <w:rFonts w:asciiTheme="minorHAnsi" w:eastAsiaTheme="minorEastAsia" w:hAnsiTheme="minorHAnsi" w:cstheme="minorBidi"/>
          <w:iCs w:val="0"/>
          <w:color w:val="414042" w:themeColor="text1"/>
          <w:sz w:val="22"/>
          <w:lang w:val="en-AU" w:bidi="ar-SA"/>
        </w:rPr>
        <w:t>Australian Economy</w:t>
      </w:r>
    </w:p>
    <w:p w14:paraId="26EE5924" w14:textId="24D394E8" w:rsidR="009E7EF6" w:rsidRDefault="00E83078" w:rsidP="00A70A09">
      <w:pPr>
        <w:spacing w:before="0" w:after="240"/>
      </w:pPr>
      <w:r w:rsidRPr="00E83078">
        <w:t xml:space="preserve">Australia’s latest GDP data for the </w:t>
      </w:r>
      <w:r w:rsidR="001F699A">
        <w:t>f</w:t>
      </w:r>
      <w:r w:rsidR="0091516C">
        <w:t>irst</w:t>
      </w:r>
      <w:r w:rsidRPr="00E83078">
        <w:t xml:space="preserve"> quarter of 202</w:t>
      </w:r>
      <w:r w:rsidR="0091516C">
        <w:t>4</w:t>
      </w:r>
      <w:r w:rsidRPr="00E83078">
        <w:t xml:space="preserve"> revealed an </w:t>
      </w:r>
      <w:r w:rsidRPr="00E83078">
        <w:rPr>
          <w:b/>
          <w:bCs/>
        </w:rPr>
        <w:t xml:space="preserve">annual growth rate of </w:t>
      </w:r>
      <w:r w:rsidR="001F699A">
        <w:rPr>
          <w:b/>
          <w:bCs/>
        </w:rPr>
        <w:t>1.</w:t>
      </w:r>
      <w:r w:rsidR="0091516C">
        <w:rPr>
          <w:b/>
          <w:bCs/>
        </w:rPr>
        <w:t>1</w:t>
      </w:r>
      <w:r w:rsidRPr="00E83078">
        <w:rPr>
          <w:b/>
          <w:bCs/>
        </w:rPr>
        <w:t>%</w:t>
      </w:r>
      <w:r w:rsidRPr="00E83078">
        <w:t xml:space="preserve"> which was </w:t>
      </w:r>
      <w:r w:rsidR="001F699A">
        <w:t>down</w:t>
      </w:r>
      <w:r w:rsidR="002656F2">
        <w:t xml:space="preserve"> f</w:t>
      </w:r>
      <w:r w:rsidRPr="00E83078">
        <w:t xml:space="preserve">rom </w:t>
      </w:r>
      <w:r w:rsidR="0091516C">
        <w:t>1.5</w:t>
      </w:r>
      <w:r w:rsidR="001F699A">
        <w:t xml:space="preserve">0% in the </w:t>
      </w:r>
      <w:r w:rsidR="0091516C">
        <w:t>fourth</w:t>
      </w:r>
      <w:r w:rsidR="001F699A">
        <w:t xml:space="preserve"> </w:t>
      </w:r>
      <w:r w:rsidRPr="00E83078">
        <w:t>quarter of 202</w:t>
      </w:r>
      <w:r w:rsidR="006A288D">
        <w:t>3</w:t>
      </w:r>
      <w:r w:rsidR="002656F2">
        <w:t>.</w:t>
      </w:r>
      <w:r w:rsidRPr="00E83078">
        <w:t xml:space="preserve"> Unemployment </w:t>
      </w:r>
      <w:r w:rsidR="0091516C">
        <w:t>fell</w:t>
      </w:r>
      <w:r w:rsidR="009F26B6">
        <w:t xml:space="preserve"> to </w:t>
      </w:r>
      <w:r w:rsidR="0091516C">
        <w:t>4.0</w:t>
      </w:r>
      <w:r w:rsidR="00481C63">
        <w:t xml:space="preserve">% </w:t>
      </w:r>
      <w:r w:rsidRPr="00E83078">
        <w:t xml:space="preserve">in </w:t>
      </w:r>
      <w:r w:rsidR="0091516C">
        <w:t>May</w:t>
      </w:r>
      <w:r w:rsidRPr="00E83078">
        <w:t xml:space="preserve"> 202</w:t>
      </w:r>
      <w:r w:rsidR="0089173A">
        <w:t>4</w:t>
      </w:r>
      <w:r w:rsidR="009F26B6">
        <w:t xml:space="preserve"> from </w:t>
      </w:r>
      <w:r w:rsidR="0091516C">
        <w:t>4.1</w:t>
      </w:r>
      <w:r w:rsidR="009F26B6">
        <w:t>%</w:t>
      </w:r>
      <w:r w:rsidR="009452BE">
        <w:t xml:space="preserve"> </w:t>
      </w:r>
      <w:r w:rsidR="0091516C">
        <w:t>i</w:t>
      </w:r>
      <w:r w:rsidR="009452BE">
        <w:t xml:space="preserve">n </w:t>
      </w:r>
      <w:r w:rsidR="0091516C">
        <w:t>April</w:t>
      </w:r>
      <w:r w:rsidR="009452BE">
        <w:t xml:space="preserve"> 2024</w:t>
      </w:r>
      <w:r w:rsidR="00172387">
        <w:t>.</w:t>
      </w:r>
      <w:r w:rsidRPr="00E83078">
        <w:t xml:space="preserve"> The </w:t>
      </w:r>
      <w:r w:rsidR="001918FE" w:rsidRPr="007D7864">
        <w:rPr>
          <w:b/>
          <w:bCs/>
        </w:rPr>
        <w:t xml:space="preserve">inflation rate eased to </w:t>
      </w:r>
      <w:r w:rsidR="00A7764C">
        <w:rPr>
          <w:b/>
          <w:bCs/>
        </w:rPr>
        <w:t>3.6</w:t>
      </w:r>
      <w:r w:rsidR="001918FE" w:rsidRPr="007D7864">
        <w:rPr>
          <w:b/>
          <w:bCs/>
        </w:rPr>
        <w:t>%</w:t>
      </w:r>
      <w:r w:rsidR="001918FE">
        <w:t xml:space="preserve"> in the f</w:t>
      </w:r>
      <w:r w:rsidR="00A7764C">
        <w:t>irst</w:t>
      </w:r>
      <w:r w:rsidR="001918FE">
        <w:t xml:space="preserve"> quarter of 202</w:t>
      </w:r>
      <w:r w:rsidR="00A7764C">
        <w:t>4</w:t>
      </w:r>
      <w:r w:rsidR="001918FE">
        <w:t xml:space="preserve"> down from </w:t>
      </w:r>
      <w:r w:rsidR="00A7764C">
        <w:t>4.1</w:t>
      </w:r>
      <w:r w:rsidR="001918FE">
        <w:t xml:space="preserve">% in the </w:t>
      </w:r>
      <w:r w:rsidR="00A7764C">
        <w:t>fourth</w:t>
      </w:r>
      <w:r w:rsidR="001918FE">
        <w:t xml:space="preserve"> quarter 2023, </w:t>
      </w:r>
      <w:r w:rsidR="009E7EF6">
        <w:t xml:space="preserve">which is </w:t>
      </w:r>
      <w:r w:rsidR="008214C4">
        <w:t>above</w:t>
      </w:r>
      <w:r w:rsidR="00892627">
        <w:t xml:space="preserve"> the </w:t>
      </w:r>
      <w:r w:rsidR="009E7EF6">
        <w:t>Reserve Bank’s targeted 2% to 3% target range.</w:t>
      </w:r>
      <w:r w:rsidR="009E7EF6" w:rsidRPr="00954E33">
        <w:t xml:space="preserve"> </w:t>
      </w:r>
    </w:p>
    <w:p w14:paraId="2527D827" w14:textId="7246C87D" w:rsidR="00147535" w:rsidRDefault="0091516C" w:rsidP="00C96BC6">
      <w:pPr>
        <w:pStyle w:val="Heading2"/>
        <w:jc w:val="center"/>
        <w:rPr>
          <w:b w:val="0"/>
          <w:bCs w:val="0"/>
        </w:rPr>
      </w:pPr>
      <w:r w:rsidRPr="0091516C">
        <w:rPr>
          <w:b w:val="0"/>
          <w:bCs w:val="0"/>
          <w:noProof/>
        </w:rPr>
        <w:lastRenderedPageBreak/>
        <w:drawing>
          <wp:inline distT="0" distB="0" distL="0" distR="0" wp14:anchorId="4325D38D" wp14:editId="031A59C4">
            <wp:extent cx="2813461" cy="2352237"/>
            <wp:effectExtent l="0" t="0" r="0" b="0"/>
            <wp:docPr id="44759294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3578" cy="2360696"/>
                    </a:xfrm>
                    <a:prstGeom prst="rect">
                      <a:avLst/>
                    </a:prstGeom>
                    <a:noFill/>
                    <a:ln>
                      <a:noFill/>
                    </a:ln>
                  </pic:spPr>
                </pic:pic>
              </a:graphicData>
            </a:graphic>
          </wp:inline>
        </w:drawing>
      </w:r>
      <w:r w:rsidR="00907005" w:rsidRPr="00907005">
        <w:rPr>
          <w:b w:val="0"/>
          <w:bCs w:val="0"/>
        </w:rPr>
        <w:t xml:space="preserve"> </w:t>
      </w:r>
      <w:r w:rsidRPr="0091516C">
        <w:rPr>
          <w:b w:val="0"/>
          <w:bCs w:val="0"/>
          <w:noProof/>
        </w:rPr>
        <w:drawing>
          <wp:inline distT="0" distB="0" distL="0" distR="0" wp14:anchorId="4B3CF77C" wp14:editId="53DBB828">
            <wp:extent cx="2599326" cy="2352675"/>
            <wp:effectExtent l="0" t="0" r="0" b="0"/>
            <wp:docPr id="167713199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4898" cy="2357718"/>
                    </a:xfrm>
                    <a:prstGeom prst="rect">
                      <a:avLst/>
                    </a:prstGeom>
                    <a:noFill/>
                    <a:ln>
                      <a:noFill/>
                    </a:ln>
                  </pic:spPr>
                </pic:pic>
              </a:graphicData>
            </a:graphic>
          </wp:inline>
        </w:drawing>
      </w:r>
    </w:p>
    <w:p w14:paraId="13598D04" w14:textId="2D54B170" w:rsidR="009E7EF6" w:rsidRPr="002C183C" w:rsidRDefault="00147535" w:rsidP="009E7EF6">
      <w:pPr>
        <w:pStyle w:val="Heading2"/>
        <w:rPr>
          <w:rFonts w:asciiTheme="minorHAnsi" w:eastAsiaTheme="minorEastAsia" w:hAnsiTheme="minorHAnsi" w:cstheme="minorBidi"/>
          <w:iCs w:val="0"/>
          <w:color w:val="414042" w:themeColor="text1"/>
          <w:sz w:val="22"/>
          <w:lang w:val="en-AU" w:bidi="ar-SA"/>
        </w:rPr>
      </w:pPr>
      <w:r>
        <w:rPr>
          <w:rFonts w:asciiTheme="minorHAnsi" w:eastAsiaTheme="minorEastAsia" w:hAnsiTheme="minorHAnsi" w:cstheme="minorBidi"/>
          <w:iCs w:val="0"/>
          <w:color w:val="414042" w:themeColor="text1"/>
          <w:sz w:val="22"/>
          <w:lang w:val="en-AU" w:bidi="ar-SA"/>
        </w:rPr>
        <w:t>Curr</w:t>
      </w:r>
      <w:r w:rsidR="009E7EF6" w:rsidRPr="002C183C">
        <w:rPr>
          <w:rFonts w:asciiTheme="minorHAnsi" w:eastAsiaTheme="minorEastAsia" w:hAnsiTheme="minorHAnsi" w:cstheme="minorBidi"/>
          <w:iCs w:val="0"/>
          <w:color w:val="414042" w:themeColor="text1"/>
          <w:sz w:val="22"/>
          <w:lang w:val="en-AU" w:bidi="ar-SA"/>
        </w:rPr>
        <w:t>ent Market View</w:t>
      </w:r>
    </w:p>
    <w:p w14:paraId="6D8387E0" w14:textId="77777777" w:rsidR="009E7EF6" w:rsidRPr="002C183C" w:rsidRDefault="009E7EF6" w:rsidP="009E7EF6">
      <w:pPr>
        <w:pStyle w:val="Heading3"/>
        <w:rPr>
          <w:rFonts w:asciiTheme="minorHAnsi" w:eastAsiaTheme="minorEastAsia" w:hAnsiTheme="minorHAnsi" w:cstheme="minorBidi"/>
          <w:iCs w:val="0"/>
          <w:caps w:val="0"/>
          <w:color w:val="414042" w:themeColor="text1"/>
          <w:lang w:val="en-AU" w:bidi="ar-SA"/>
        </w:rPr>
      </w:pPr>
      <w:r w:rsidRPr="002C183C">
        <w:rPr>
          <w:rFonts w:asciiTheme="minorHAnsi" w:eastAsiaTheme="minorEastAsia" w:hAnsiTheme="minorHAnsi" w:cstheme="minorBidi"/>
          <w:iCs w:val="0"/>
          <w:caps w:val="0"/>
          <w:color w:val="414042" w:themeColor="text1"/>
          <w:lang w:val="en-AU" w:bidi="ar-SA"/>
        </w:rPr>
        <w:t>Domestic View</w:t>
      </w:r>
    </w:p>
    <w:p w14:paraId="72A614DB" w14:textId="6B9645CD" w:rsidR="00D658F2" w:rsidRDefault="00D658F2" w:rsidP="00001F8C">
      <w:r>
        <w:t xml:space="preserve">The overall </w:t>
      </w:r>
      <w:r w:rsidR="002C2046">
        <w:t xml:space="preserve">investment </w:t>
      </w:r>
      <w:r>
        <w:t xml:space="preserve">feeling </w:t>
      </w:r>
      <w:r w:rsidR="005A4CB4">
        <w:t xml:space="preserve">for shares </w:t>
      </w:r>
      <w:r>
        <w:t>i</w:t>
      </w:r>
      <w:r w:rsidR="000D2EF0">
        <w:t>n the</w:t>
      </w:r>
      <w:r>
        <w:t xml:space="preserve"> </w:t>
      </w:r>
      <w:r w:rsidR="00211307">
        <w:t xml:space="preserve">short-term </w:t>
      </w:r>
      <w:r w:rsidR="008116BB">
        <w:t xml:space="preserve">is </w:t>
      </w:r>
      <w:r w:rsidR="008116BB" w:rsidRPr="00C96BC6">
        <w:rPr>
          <w:b/>
          <w:bCs/>
        </w:rPr>
        <w:t>“</w:t>
      </w:r>
      <w:r w:rsidR="0077020B">
        <w:rPr>
          <w:b/>
          <w:bCs/>
        </w:rPr>
        <w:t>cautiously optimistic</w:t>
      </w:r>
      <w:r w:rsidR="008116BB" w:rsidRPr="00C96BC6">
        <w:rPr>
          <w:b/>
          <w:bCs/>
        </w:rPr>
        <w:t>”</w:t>
      </w:r>
      <w:r w:rsidR="005A4CB4">
        <w:t xml:space="preserve"> </w:t>
      </w:r>
      <w:r w:rsidR="00C96BC6">
        <w:t xml:space="preserve"> </w:t>
      </w:r>
      <w:r w:rsidR="0029438A">
        <w:t>and</w:t>
      </w:r>
      <w:r w:rsidR="00C96BC6">
        <w:t xml:space="preserve"> remains </w:t>
      </w:r>
      <w:r w:rsidR="00877A32" w:rsidRPr="00745215">
        <w:rPr>
          <w:b/>
          <w:bCs/>
        </w:rPr>
        <w:t>optimistic</w:t>
      </w:r>
      <w:r w:rsidR="00877A32">
        <w:t xml:space="preserve"> </w:t>
      </w:r>
      <w:r w:rsidR="00745215">
        <w:rPr>
          <w:b/>
          <w:bCs/>
        </w:rPr>
        <w:t>over the long run</w:t>
      </w:r>
      <w:r w:rsidR="009C479B">
        <w:rPr>
          <w:b/>
          <w:bCs/>
        </w:rPr>
        <w:t xml:space="preserve"> </w:t>
      </w:r>
      <w:r w:rsidR="002C2046" w:rsidRPr="002C2046">
        <w:t xml:space="preserve">as interest </w:t>
      </w:r>
      <w:r w:rsidR="00FC017D">
        <w:t xml:space="preserve">rates </w:t>
      </w:r>
      <w:r w:rsidR="00C5696F">
        <w:t xml:space="preserve">are expected to </w:t>
      </w:r>
      <w:r w:rsidR="002903A6">
        <w:t>ease</w:t>
      </w:r>
      <w:r w:rsidR="00C96BC6">
        <w:t xml:space="preserve"> </w:t>
      </w:r>
      <w:r w:rsidR="0077020B">
        <w:t xml:space="preserve">later in 2024 </w:t>
      </w:r>
      <w:r w:rsidR="00C96BC6">
        <w:t>along with inflation</w:t>
      </w:r>
      <w:r w:rsidR="00745215">
        <w:t xml:space="preserve">. </w:t>
      </w:r>
    </w:p>
    <w:p w14:paraId="584F1152" w14:textId="44B5074F" w:rsidR="0077020B" w:rsidRDefault="0077020B" w:rsidP="00001F8C">
      <w:r>
        <w:t xml:space="preserve">Much will depend on how the economy reacts to the tax changes coming in July 2024 and the State Governments cash splash and the impact on consumer spending. Needless to say: </w:t>
      </w:r>
      <w:r w:rsidRPr="0077020B">
        <w:rPr>
          <w:b/>
          <w:bCs/>
        </w:rPr>
        <w:t>Higher spending=higher demand=higher prices=higher inflation=higher for longer interest rates.</w:t>
      </w:r>
    </w:p>
    <w:p w14:paraId="1B4AEE86" w14:textId="77777777" w:rsidR="009E7EF6" w:rsidRPr="002C183C" w:rsidRDefault="009E7EF6" w:rsidP="004273DE">
      <w:pPr>
        <w:pStyle w:val="Heading3"/>
        <w:spacing w:before="120" w:after="120"/>
        <w:rPr>
          <w:rFonts w:asciiTheme="minorHAnsi" w:eastAsiaTheme="minorEastAsia" w:hAnsiTheme="minorHAnsi" w:cstheme="minorBidi"/>
          <w:iCs w:val="0"/>
          <w:caps w:val="0"/>
          <w:color w:val="414042" w:themeColor="text1"/>
          <w:lang w:val="en-AU" w:bidi="ar-SA"/>
        </w:rPr>
      </w:pPr>
      <w:r w:rsidRPr="002C183C">
        <w:rPr>
          <w:rFonts w:asciiTheme="minorHAnsi" w:eastAsiaTheme="minorEastAsia" w:hAnsiTheme="minorHAnsi" w:cstheme="minorBidi"/>
          <w:iCs w:val="0"/>
          <w:caps w:val="0"/>
          <w:color w:val="414042" w:themeColor="text1"/>
          <w:lang w:val="en-AU" w:bidi="ar-SA"/>
        </w:rPr>
        <w:t>Global View</w:t>
      </w:r>
    </w:p>
    <w:p w14:paraId="6B72D299" w14:textId="7568A031" w:rsidR="002761ED" w:rsidRDefault="00FD5867" w:rsidP="004273DE">
      <w:pPr>
        <w:spacing w:before="120" w:after="120"/>
      </w:pPr>
      <w:r>
        <w:t>Global</w:t>
      </w:r>
      <w:r w:rsidR="00F11088">
        <w:t xml:space="preserve"> </w:t>
      </w:r>
      <w:r w:rsidR="0077020B">
        <w:t xml:space="preserve">share </w:t>
      </w:r>
      <w:r w:rsidR="002761ED">
        <w:t xml:space="preserve">market </w:t>
      </w:r>
      <w:r w:rsidR="001451A8">
        <w:t xml:space="preserve">returns </w:t>
      </w:r>
      <w:r w:rsidR="00DF5A47">
        <w:t xml:space="preserve">were </w:t>
      </w:r>
      <w:r w:rsidR="0077020B">
        <w:t xml:space="preserve">driven </w:t>
      </w:r>
      <w:r w:rsidR="002761ED">
        <w:t xml:space="preserve">primarily </w:t>
      </w:r>
      <w:r w:rsidR="0077020B">
        <w:t xml:space="preserve">by the </w:t>
      </w:r>
      <w:r w:rsidR="0077020B" w:rsidRPr="002761ED">
        <w:rPr>
          <w:b/>
          <w:bCs/>
        </w:rPr>
        <w:t>technology sector</w:t>
      </w:r>
      <w:r w:rsidR="0077020B">
        <w:t xml:space="preserve"> (the magnificent 7) which along with the S&amp;P 500, the Nasdaq notched up successive record highs </w:t>
      </w:r>
      <w:r w:rsidR="002761ED">
        <w:t xml:space="preserve">in the first few weeks of June 2024. </w:t>
      </w:r>
    </w:p>
    <w:p w14:paraId="4D7F9D0C" w14:textId="3B5068B6" w:rsidR="002761ED" w:rsidRDefault="002761ED" w:rsidP="004273DE">
      <w:pPr>
        <w:spacing w:before="120" w:after="120"/>
      </w:pPr>
      <w:r>
        <w:t xml:space="preserve">This trend was supported by the </w:t>
      </w:r>
      <w:r w:rsidRPr="002761ED">
        <w:t xml:space="preserve">US Treasury yields </w:t>
      </w:r>
      <w:r>
        <w:t xml:space="preserve">which </w:t>
      </w:r>
      <w:r w:rsidRPr="002761ED">
        <w:t>reached their lowest levels since early April</w:t>
      </w:r>
      <w:r>
        <w:t xml:space="preserve"> 2024</w:t>
      </w:r>
      <w:r w:rsidRPr="002761ED">
        <w:t>. Latest P</w:t>
      </w:r>
      <w:r>
        <w:t xml:space="preserve">roducer </w:t>
      </w:r>
      <w:r w:rsidRPr="002761ED">
        <w:t>P</w:t>
      </w:r>
      <w:r>
        <w:t xml:space="preserve">rice </w:t>
      </w:r>
      <w:r w:rsidRPr="002761ED">
        <w:t>I</w:t>
      </w:r>
      <w:r>
        <w:t>ndex</w:t>
      </w:r>
      <w:r w:rsidRPr="002761ED">
        <w:t xml:space="preserve"> report showed inflationary pressures continue to ease, bringing back the possibility of </w:t>
      </w:r>
      <w:r w:rsidRPr="002761ED">
        <w:rPr>
          <w:b/>
          <w:bCs/>
        </w:rPr>
        <w:t>multiple rates cuts this year</w:t>
      </w:r>
      <w:r w:rsidRPr="002761ED">
        <w:t>. As a result, US Treasuries and German bonds rose, while bonds in Southern Europe faced losses due to political turmoil, leading to wider spreads and a decrease in market sentiment.</w:t>
      </w:r>
    </w:p>
    <w:p w14:paraId="670F5E44" w14:textId="5D733A76" w:rsidR="009B38B3" w:rsidRDefault="00CC3247" w:rsidP="009B38B3">
      <w:pPr>
        <w:rPr>
          <w:rFonts w:ascii="Calibri" w:hAnsi="Calibri" w:cs="Calibri"/>
          <w:color w:val="222222"/>
          <w:sz w:val="24"/>
          <w:szCs w:val="24"/>
          <w:shd w:val="clear" w:color="auto" w:fill="FFFFFF"/>
        </w:rPr>
      </w:pPr>
      <w:r w:rsidRPr="00CC3247">
        <w:t xml:space="preserve">Despite the </w:t>
      </w:r>
      <w:r w:rsidR="007B07C4">
        <w:t xml:space="preserve">uncertain </w:t>
      </w:r>
      <w:r w:rsidR="0002488F">
        <w:t>geo</w:t>
      </w:r>
      <w:r w:rsidR="00BF72F5">
        <w:t xml:space="preserve">political situation </w:t>
      </w:r>
      <w:r w:rsidR="00B11817">
        <w:t>with the</w:t>
      </w:r>
      <w:r w:rsidR="003654CD">
        <w:t xml:space="preserve"> </w:t>
      </w:r>
      <w:r w:rsidR="006B19AD">
        <w:t>Russia</w:t>
      </w:r>
      <w:r w:rsidR="009708AD">
        <w:t>-</w:t>
      </w:r>
      <w:r w:rsidR="006B19AD">
        <w:t>Ukraine</w:t>
      </w:r>
      <w:r w:rsidR="009708AD">
        <w:t>, Israel-H</w:t>
      </w:r>
      <w:r w:rsidR="009B38B3">
        <w:t>a</w:t>
      </w:r>
      <w:r w:rsidR="009708AD">
        <w:t>mas</w:t>
      </w:r>
      <w:r w:rsidR="006B19AD">
        <w:t xml:space="preserve"> </w:t>
      </w:r>
      <w:r w:rsidR="009B38B3">
        <w:t>conflict,</w:t>
      </w:r>
      <w:r w:rsidR="006B19AD">
        <w:t xml:space="preserve"> and </w:t>
      </w:r>
      <w:r w:rsidR="002903A6">
        <w:t xml:space="preserve">economic slowdown </w:t>
      </w:r>
      <w:r w:rsidR="00BF72F5">
        <w:t xml:space="preserve">concerns, </w:t>
      </w:r>
      <w:r w:rsidRPr="00090E25">
        <w:t xml:space="preserve">we </w:t>
      </w:r>
      <w:r w:rsidR="00090E25" w:rsidRPr="00090E25">
        <w:t xml:space="preserve">expect the </w:t>
      </w:r>
      <w:r w:rsidR="007B07C4" w:rsidRPr="00090E25">
        <w:rPr>
          <w:b/>
          <w:bCs/>
        </w:rPr>
        <w:t xml:space="preserve">medium-term </w:t>
      </w:r>
      <w:r w:rsidRPr="00090E25">
        <w:rPr>
          <w:b/>
          <w:bCs/>
        </w:rPr>
        <w:t>outlook</w:t>
      </w:r>
      <w:r w:rsidR="00090E25" w:rsidRPr="00090E25">
        <w:rPr>
          <w:b/>
          <w:bCs/>
        </w:rPr>
        <w:t xml:space="preserve"> to reflect better opportunities for investors</w:t>
      </w:r>
      <w:r w:rsidR="00090E25">
        <w:t xml:space="preserve">. </w:t>
      </w:r>
      <w:r w:rsidR="007B07C4">
        <w:t xml:space="preserve">Short-term, </w:t>
      </w:r>
      <w:r w:rsidR="007633F4">
        <w:t xml:space="preserve">we </w:t>
      </w:r>
      <w:r w:rsidR="007B07C4">
        <w:t xml:space="preserve">expect </w:t>
      </w:r>
      <w:r w:rsidR="00C5696F">
        <w:t>Q</w:t>
      </w:r>
      <w:r w:rsidR="00C00E8F">
        <w:t>3</w:t>
      </w:r>
      <w:r w:rsidR="00C5696F">
        <w:t xml:space="preserve"> and Q</w:t>
      </w:r>
      <w:r w:rsidR="00C00E8F">
        <w:t>4</w:t>
      </w:r>
      <w:r w:rsidR="00C5696F">
        <w:t xml:space="preserve"> </w:t>
      </w:r>
      <w:r w:rsidR="002903A6">
        <w:t xml:space="preserve">to reflect </w:t>
      </w:r>
      <w:r w:rsidR="00C00E8F">
        <w:t>improving</w:t>
      </w:r>
      <w:r w:rsidR="00C465D1">
        <w:t xml:space="preserve"> </w:t>
      </w:r>
      <w:r w:rsidR="00C5696F">
        <w:t xml:space="preserve">company results plus </w:t>
      </w:r>
      <w:r w:rsidR="00C465D1">
        <w:t>c</w:t>
      </w:r>
      <w:r w:rsidR="00C00E8F">
        <w:t>onservative</w:t>
      </w:r>
      <w:r w:rsidR="00C465D1">
        <w:t xml:space="preserve"> </w:t>
      </w:r>
      <w:r w:rsidR="00C5696F">
        <w:t xml:space="preserve">forward guidance </w:t>
      </w:r>
      <w:r w:rsidR="00C465D1">
        <w:t xml:space="preserve">which </w:t>
      </w:r>
      <w:r w:rsidR="00C00E8F">
        <w:t xml:space="preserve">will </w:t>
      </w:r>
      <w:r w:rsidR="00C465D1">
        <w:t>help support</w:t>
      </w:r>
      <w:r w:rsidR="00C5696F">
        <w:t xml:space="preserve"> </w:t>
      </w:r>
      <w:r w:rsidR="00600EF9">
        <w:t>investor appetite as interest rates search for equilibrium</w:t>
      </w:r>
      <w:r w:rsidR="002761ED">
        <w:t xml:space="preserve"> between the current supply and demand for capital</w:t>
      </w:r>
      <w:r w:rsidR="00C00E8F">
        <w:t>.</w:t>
      </w:r>
      <w:r w:rsidR="00005474">
        <w:rPr>
          <w:rFonts w:ascii="Calibri" w:hAnsi="Calibri" w:cs="Calibri"/>
          <w:color w:val="222222"/>
          <w:sz w:val="24"/>
          <w:szCs w:val="24"/>
          <w:shd w:val="clear" w:color="auto" w:fill="FFFFFF"/>
        </w:rPr>
        <w:t xml:space="preserve"> </w:t>
      </w:r>
    </w:p>
    <w:p w14:paraId="746B3093" w14:textId="22FABC60" w:rsidR="00476B80" w:rsidRPr="00E37E86" w:rsidRDefault="00FA2956" w:rsidP="004273DE">
      <w:pPr>
        <w:spacing w:before="120" w:after="120"/>
        <w:rPr>
          <w:b/>
          <w:bCs/>
        </w:rPr>
      </w:pPr>
      <w:r>
        <w:rPr>
          <w:b/>
          <w:bCs/>
        </w:rPr>
        <w:t>Where to From Here?</w:t>
      </w:r>
    </w:p>
    <w:p w14:paraId="3208B238" w14:textId="77777777" w:rsidR="002761ED" w:rsidRDefault="00FA2956" w:rsidP="004273DE">
      <w:pPr>
        <w:spacing w:before="120" w:after="120"/>
      </w:pPr>
      <w:r w:rsidRPr="00850E8E">
        <w:rPr>
          <w:b/>
          <w:bCs/>
        </w:rPr>
        <w:lastRenderedPageBreak/>
        <w:t>For Australia</w:t>
      </w:r>
      <w:r>
        <w:t xml:space="preserve">, </w:t>
      </w:r>
      <w:r w:rsidR="002761ED">
        <w:t xml:space="preserve"> a </w:t>
      </w:r>
      <w:r w:rsidR="002761ED" w:rsidRPr="002761ED">
        <w:rPr>
          <w:b/>
          <w:bCs/>
        </w:rPr>
        <w:t>soft landing is still on the cards</w:t>
      </w:r>
      <w:r w:rsidR="002761ED">
        <w:t xml:space="preserve">. Markets take the lead from </w:t>
      </w:r>
      <w:r w:rsidR="00B52912">
        <w:t xml:space="preserve">what is happening in the </w:t>
      </w:r>
      <w:r w:rsidR="00931211" w:rsidRPr="00B52912">
        <w:t xml:space="preserve">global markets </w:t>
      </w:r>
      <w:r w:rsidR="002761ED">
        <w:t>as this</w:t>
      </w:r>
      <w:r w:rsidR="0002488F">
        <w:t xml:space="preserve"> </w:t>
      </w:r>
      <w:r w:rsidR="00A82292">
        <w:t>directly impact</w:t>
      </w:r>
      <w:r w:rsidR="002761ED">
        <w:t>s</w:t>
      </w:r>
      <w:r w:rsidR="00A82292">
        <w:t xml:space="preserve"> our markets </w:t>
      </w:r>
      <w:r w:rsidR="002761ED">
        <w:t>given</w:t>
      </w:r>
      <w:r w:rsidR="00A82292">
        <w:t xml:space="preserve"> </w:t>
      </w:r>
      <w:r w:rsidR="00457450">
        <w:t xml:space="preserve">there is </w:t>
      </w:r>
      <w:r w:rsidR="0002488F">
        <w:t>align</w:t>
      </w:r>
      <w:r w:rsidR="00457450">
        <w:t>ment</w:t>
      </w:r>
      <w:r w:rsidR="0002488F">
        <w:t xml:space="preserve"> in trade terms </w:t>
      </w:r>
      <w:r w:rsidR="00931211" w:rsidRPr="00B52912">
        <w:t xml:space="preserve">but the fallout </w:t>
      </w:r>
      <w:r w:rsidR="00A82292">
        <w:t xml:space="preserve">remains </w:t>
      </w:r>
      <w:r w:rsidR="00931211" w:rsidRPr="00B52912">
        <w:t xml:space="preserve">mitigated given our </w:t>
      </w:r>
      <w:r w:rsidR="00005474">
        <w:t xml:space="preserve">immigration, </w:t>
      </w:r>
      <w:r w:rsidR="00931211" w:rsidRPr="00B52912">
        <w:t xml:space="preserve">agricultural and resource assets. </w:t>
      </w:r>
    </w:p>
    <w:p w14:paraId="6BF46611" w14:textId="48424974" w:rsidR="00DC3092" w:rsidRPr="00DC3092" w:rsidRDefault="00A81BD3" w:rsidP="004273DE">
      <w:pPr>
        <w:spacing w:before="120" w:after="120"/>
      </w:pPr>
      <w:r w:rsidRPr="00DC3092">
        <w:t>All eyes are</w:t>
      </w:r>
      <w:r w:rsidR="009F26B6">
        <w:t xml:space="preserve"> </w:t>
      </w:r>
      <w:r w:rsidRPr="00DC3092">
        <w:t xml:space="preserve">focussed on </w:t>
      </w:r>
      <w:r w:rsidR="00DC3092" w:rsidRPr="00DC3092">
        <w:t>the</w:t>
      </w:r>
      <w:r w:rsidR="00DC3092">
        <w:rPr>
          <w:b/>
          <w:bCs/>
        </w:rPr>
        <w:t xml:space="preserve"> Middle East political unrest. </w:t>
      </w:r>
      <w:r w:rsidR="009F26B6" w:rsidRPr="00DC3092">
        <w:t>Let us</w:t>
      </w:r>
      <w:r w:rsidR="00DC3092" w:rsidRPr="00DC3092">
        <w:t xml:space="preserve"> hope the situation </w:t>
      </w:r>
      <w:r w:rsidR="009F26B6">
        <w:t>will be</w:t>
      </w:r>
      <w:r w:rsidR="00DC3092" w:rsidRPr="00DC3092">
        <w:t xml:space="preserve"> contained and a solution </w:t>
      </w:r>
      <w:r w:rsidR="00DC3092">
        <w:t xml:space="preserve">that ceases further aggression and violence </w:t>
      </w:r>
      <w:r w:rsidR="00DC3092" w:rsidRPr="00DC3092">
        <w:t>is forthcoming.</w:t>
      </w:r>
    </w:p>
    <w:p w14:paraId="554EA2E1" w14:textId="77777777" w:rsidR="00D06704" w:rsidRDefault="002761ED" w:rsidP="009E7EF6">
      <w:r w:rsidRPr="002761ED">
        <w:rPr>
          <w:b/>
          <w:bCs/>
        </w:rPr>
        <w:t>Global m</w:t>
      </w:r>
      <w:r w:rsidR="004A734E" w:rsidRPr="002761ED">
        <w:rPr>
          <w:b/>
          <w:bCs/>
        </w:rPr>
        <w:t>arkets</w:t>
      </w:r>
      <w:r w:rsidR="004A734E" w:rsidRPr="004A734E">
        <w:t xml:space="preserve"> have </w:t>
      </w:r>
      <w:r w:rsidR="00B52912">
        <w:t xml:space="preserve">already </w:t>
      </w:r>
      <w:r w:rsidR="00A013B5">
        <w:t>weathered tough conditions</w:t>
      </w:r>
      <w:r w:rsidR="004A734E" w:rsidRPr="004A734E">
        <w:t xml:space="preserve"> </w:t>
      </w:r>
      <w:r w:rsidR="00005474">
        <w:t>over 2023</w:t>
      </w:r>
      <w:r w:rsidR="007D1BED">
        <w:t>/24</w:t>
      </w:r>
      <w:r w:rsidR="00005474">
        <w:t xml:space="preserve"> </w:t>
      </w:r>
      <w:r w:rsidR="004A734E" w:rsidRPr="004A734E">
        <w:t xml:space="preserve">and </w:t>
      </w:r>
      <w:r w:rsidR="00005474">
        <w:t xml:space="preserve">now </w:t>
      </w:r>
      <w:r w:rsidR="00B52912">
        <w:t xml:space="preserve">there is </w:t>
      </w:r>
      <w:r w:rsidR="004A734E" w:rsidRPr="004A734E">
        <w:t xml:space="preserve">economic evidence pointing to a potential </w:t>
      </w:r>
      <w:r w:rsidR="007D1BED" w:rsidRPr="007D1BED">
        <w:rPr>
          <w:b/>
          <w:bCs/>
        </w:rPr>
        <w:t>soft landing</w:t>
      </w:r>
      <w:r w:rsidR="007D1BED">
        <w:t xml:space="preserve"> rather than a mild recession</w:t>
      </w:r>
      <w:r w:rsidR="00B52912">
        <w:t xml:space="preserve"> </w:t>
      </w:r>
      <w:r w:rsidR="0002488F">
        <w:t xml:space="preserve">in the US and Europe </w:t>
      </w:r>
      <w:r w:rsidR="007F4AD0">
        <w:t>down the track</w:t>
      </w:r>
      <w:r w:rsidR="00005474">
        <w:t xml:space="preserve">. </w:t>
      </w:r>
    </w:p>
    <w:p w14:paraId="4E1B39B5" w14:textId="310841F9" w:rsidR="00D06704" w:rsidRDefault="00D06704" w:rsidP="009E7EF6">
      <w:r>
        <w:t xml:space="preserve">The </w:t>
      </w:r>
      <w:r w:rsidRPr="009B70AF">
        <w:rPr>
          <w:b/>
          <w:bCs/>
        </w:rPr>
        <w:t>US elections in November 2024</w:t>
      </w:r>
      <w:r>
        <w:t xml:space="preserve"> are a background factor however, there may be </w:t>
      </w:r>
      <w:r w:rsidR="006820B4">
        <w:t>periods of</w:t>
      </w:r>
      <w:r>
        <w:t xml:space="preserve"> volatility in the lead up to the election. The same can be said about the European and UK elections. A big year for voters. Post all the noise, the economic recovery should start to emerge.</w:t>
      </w:r>
    </w:p>
    <w:p w14:paraId="67B2D452" w14:textId="44CB80DB" w:rsidR="004B17FB" w:rsidRDefault="00005474" w:rsidP="009E7EF6">
      <w:r w:rsidRPr="00005474">
        <w:rPr>
          <w:b/>
          <w:bCs/>
        </w:rPr>
        <w:t>M</w:t>
      </w:r>
      <w:r w:rsidR="004A734E" w:rsidRPr="00B52912">
        <w:rPr>
          <w:b/>
          <w:bCs/>
        </w:rPr>
        <w:t>arkets are forward looking</w:t>
      </w:r>
      <w:r w:rsidR="004A734E" w:rsidRPr="004A734E">
        <w:t xml:space="preserve">, so </w:t>
      </w:r>
      <w:r w:rsidR="00F43A7D" w:rsidRPr="004A734E">
        <w:t>it is</w:t>
      </w:r>
      <w:r w:rsidR="004A734E" w:rsidRPr="004A734E">
        <w:t xml:space="preserve"> likely they </w:t>
      </w:r>
      <w:r>
        <w:t>have</w:t>
      </w:r>
      <w:r w:rsidR="004A734E" w:rsidRPr="004A734E">
        <w:t xml:space="preserve"> </w:t>
      </w:r>
      <w:r w:rsidRPr="00005474">
        <w:rPr>
          <w:b/>
          <w:bCs/>
        </w:rPr>
        <w:t>found</w:t>
      </w:r>
      <w:r w:rsidR="00B52912" w:rsidRPr="00005474">
        <w:rPr>
          <w:b/>
          <w:bCs/>
        </w:rPr>
        <w:t xml:space="preserve"> a</w:t>
      </w:r>
      <w:r w:rsidR="00B52912" w:rsidRPr="00A64C25">
        <w:rPr>
          <w:b/>
          <w:bCs/>
        </w:rPr>
        <w:t xml:space="preserve"> bottom </w:t>
      </w:r>
      <w:r w:rsidR="004A734E" w:rsidRPr="00A64C25">
        <w:rPr>
          <w:b/>
          <w:bCs/>
        </w:rPr>
        <w:t xml:space="preserve">and </w:t>
      </w:r>
      <w:r w:rsidR="00B52912" w:rsidRPr="00A64C25">
        <w:rPr>
          <w:b/>
          <w:bCs/>
        </w:rPr>
        <w:t>consolidat</w:t>
      </w:r>
      <w:r>
        <w:rPr>
          <w:b/>
          <w:bCs/>
        </w:rPr>
        <w:t>ing</w:t>
      </w:r>
      <w:r w:rsidR="00B52912">
        <w:t xml:space="preserve"> before s</w:t>
      </w:r>
      <w:r w:rsidR="004A734E" w:rsidRPr="004A734E">
        <w:t>tart</w:t>
      </w:r>
      <w:r w:rsidR="00B52912">
        <w:t>ing</w:t>
      </w:r>
      <w:r w:rsidR="004A734E" w:rsidRPr="004A734E">
        <w:t xml:space="preserve"> </w:t>
      </w:r>
      <w:r w:rsidR="00B52912">
        <w:t>to recover</w:t>
      </w:r>
      <w:r w:rsidR="004A734E" w:rsidRPr="004A734E">
        <w:t xml:space="preserve"> </w:t>
      </w:r>
      <w:r>
        <w:t>longer term.</w:t>
      </w:r>
      <w:r w:rsidR="00B52912">
        <w:t xml:space="preserve"> </w:t>
      </w:r>
      <w:r w:rsidR="00EF6467">
        <w:t>We</w:t>
      </w:r>
      <w:r w:rsidR="00F1304B">
        <w:t xml:space="preserve"> </w:t>
      </w:r>
      <w:r>
        <w:t xml:space="preserve">suspect we </w:t>
      </w:r>
      <w:r w:rsidR="00F1304B">
        <w:t>have</w:t>
      </w:r>
      <w:r w:rsidR="00EF6467">
        <w:t xml:space="preserve"> just</w:t>
      </w:r>
      <w:r w:rsidR="00F1304B">
        <w:t xml:space="preserve"> seen the start of that recovery process</w:t>
      </w:r>
      <w:r w:rsidR="00067753">
        <w:t xml:space="preserve"> and </w:t>
      </w:r>
      <w:r w:rsidR="00067753" w:rsidRPr="00DA7237">
        <w:rPr>
          <w:b/>
          <w:bCs/>
        </w:rPr>
        <w:t xml:space="preserve">the </w:t>
      </w:r>
      <w:r w:rsidR="00067753" w:rsidRPr="00067753">
        <w:rPr>
          <w:b/>
          <w:bCs/>
        </w:rPr>
        <w:t>recent volatility is simply the ebb and flow of markets</w:t>
      </w:r>
      <w:r w:rsidR="00067753">
        <w:t>.</w:t>
      </w:r>
    </w:p>
    <w:p w14:paraId="485625AC" w14:textId="22CEE83B" w:rsidR="00DA7237" w:rsidRDefault="00B52912" w:rsidP="006E0DCD">
      <w:r>
        <w:t xml:space="preserve">Fingers crossed </w:t>
      </w:r>
      <w:r w:rsidR="004A1535">
        <w:t xml:space="preserve">monetary policy </w:t>
      </w:r>
      <w:r w:rsidR="00412A09">
        <w:t xml:space="preserve">direction </w:t>
      </w:r>
      <w:r w:rsidR="00513CA7">
        <w:t xml:space="preserve">remains restrictive but trending towards an easing bias in the months ahead which hopefully, </w:t>
      </w:r>
      <w:r w:rsidR="00CB75C6">
        <w:t xml:space="preserve">will lead to </w:t>
      </w:r>
      <w:r w:rsidR="004A1535">
        <w:t xml:space="preserve">a </w:t>
      </w:r>
      <w:r w:rsidR="00733FAC">
        <w:t xml:space="preserve">moderation in prices </w:t>
      </w:r>
      <w:r w:rsidR="00CB75C6">
        <w:t xml:space="preserve">and </w:t>
      </w:r>
      <w:r w:rsidR="00922434">
        <w:t xml:space="preserve">the start of </w:t>
      </w:r>
      <w:r w:rsidR="00733FAC">
        <w:t xml:space="preserve">a more stable </w:t>
      </w:r>
      <w:r w:rsidR="00D06704">
        <w:t xml:space="preserve">global </w:t>
      </w:r>
      <w:r w:rsidR="00CB75C6">
        <w:t xml:space="preserve">growth </w:t>
      </w:r>
      <w:r w:rsidR="00733FAC">
        <w:t>platform</w:t>
      </w:r>
      <w:r w:rsidR="004B17FB">
        <w:t>.</w:t>
      </w:r>
      <w:r w:rsidR="00CB75C6">
        <w:t xml:space="preserve"> </w:t>
      </w:r>
    </w:p>
    <w:p w14:paraId="699E7283" w14:textId="77777777" w:rsidR="006E0DCD" w:rsidRDefault="006E0DCD" w:rsidP="0090611C">
      <w:pPr>
        <w:rPr>
          <w:b/>
          <w:bCs/>
        </w:rPr>
      </w:pPr>
    </w:p>
    <w:p w14:paraId="425DC95A" w14:textId="77777777" w:rsidR="006E0DCD" w:rsidRDefault="006E0DCD" w:rsidP="0090611C">
      <w:pPr>
        <w:rPr>
          <w:b/>
          <w:bCs/>
        </w:rPr>
      </w:pPr>
    </w:p>
    <w:p w14:paraId="20A62BEF" w14:textId="7E9C044C" w:rsidR="009E7EF6" w:rsidRPr="0002488F" w:rsidRDefault="009E7EF6" w:rsidP="0090611C">
      <w:pPr>
        <w:rPr>
          <w:b/>
          <w:bCs/>
        </w:rPr>
      </w:pPr>
      <w:r w:rsidRPr="0002488F">
        <w:rPr>
          <w:b/>
          <w:bCs/>
        </w:rPr>
        <w:t>Footnote</w:t>
      </w:r>
    </w:p>
    <w:p w14:paraId="458C9861" w14:textId="228F1F51" w:rsidR="00DE74A4" w:rsidRPr="000F52AB" w:rsidRDefault="009E7EF6" w:rsidP="00421DFB">
      <w:r w:rsidRPr="00A851EE">
        <w:rPr>
          <w:sz w:val="18"/>
        </w:rPr>
        <w:t xml:space="preserve">This market update written by Graham Fox for and on behalf of HNW Planning on </w:t>
      </w:r>
      <w:r w:rsidR="004A1535">
        <w:rPr>
          <w:sz w:val="18"/>
        </w:rPr>
        <w:t>1</w:t>
      </w:r>
      <w:r w:rsidR="00703580">
        <w:rPr>
          <w:sz w:val="18"/>
        </w:rPr>
        <w:t>4</w:t>
      </w:r>
      <w:r w:rsidRPr="00A851EE">
        <w:rPr>
          <w:sz w:val="18"/>
        </w:rPr>
        <w:t>/</w:t>
      </w:r>
      <w:r w:rsidR="000B1350">
        <w:rPr>
          <w:sz w:val="18"/>
        </w:rPr>
        <w:t>0</w:t>
      </w:r>
      <w:r w:rsidR="00703580">
        <w:rPr>
          <w:sz w:val="18"/>
        </w:rPr>
        <w:t>6</w:t>
      </w:r>
      <w:r w:rsidRPr="00A851EE">
        <w:rPr>
          <w:sz w:val="18"/>
        </w:rPr>
        <w:t>/20</w:t>
      </w:r>
      <w:r w:rsidR="00E37E86">
        <w:rPr>
          <w:sz w:val="18"/>
        </w:rPr>
        <w:t>2</w:t>
      </w:r>
      <w:r w:rsidR="000B1350">
        <w:rPr>
          <w:sz w:val="18"/>
        </w:rPr>
        <w:t>4</w:t>
      </w:r>
      <w:r w:rsidRPr="00A851EE">
        <w:rPr>
          <w:sz w:val="18"/>
        </w:rPr>
        <w:t>. Graham Fox is a</w:t>
      </w:r>
      <w:r w:rsidR="0057013D">
        <w:rPr>
          <w:sz w:val="18"/>
        </w:rPr>
        <w:t xml:space="preserve">n external asset consultant </w:t>
      </w:r>
      <w:r w:rsidRPr="00A851EE">
        <w:rPr>
          <w:sz w:val="18"/>
        </w:rPr>
        <w:t xml:space="preserve">and </w:t>
      </w:r>
      <w:r w:rsidR="0057013D">
        <w:rPr>
          <w:sz w:val="18"/>
        </w:rPr>
        <w:t xml:space="preserve">consults to the HNW Investment Committee. Graham </w:t>
      </w:r>
      <w:r w:rsidRPr="00A851EE">
        <w:rPr>
          <w:sz w:val="18"/>
        </w:rPr>
        <w:t>has enjoyed a career in financial services covering several private, corporate and investment banking institutions including, Genesys Wealth Advisers (research), Standard &amp; Poor’s Australia (fund ratings), Westpac Private Bank (research, strategy and product), Gold Link Capital (sales and marketing), Challenger Financial Services Group (COO asset management), Deutsche Funds Management (head of treasury), Canadian Imperial Bank of Commerce (regional head of FX), Banque Nationale de Paris, (F/X) and Commercial Bank of Australia (International and Treasury). Graham references material made available from HNW Planning’s' contracted research houses including Lonsec and Morningstar. </w:t>
      </w:r>
      <w:bookmarkEnd w:id="0"/>
    </w:p>
    <w:sectPr w:rsidR="00DE74A4" w:rsidRPr="000F52AB" w:rsidSect="00D94145">
      <w:footerReference w:type="default" r:id="rId19"/>
      <w:pgSz w:w="11906" w:h="16838" w:code="9"/>
      <w:pgMar w:top="2948" w:right="1440" w:bottom="2041" w:left="1440" w:header="10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3502B" w14:textId="77777777" w:rsidR="00D97FA7" w:rsidRDefault="00D97FA7" w:rsidP="00EB28A8">
      <w:pPr>
        <w:spacing w:after="0" w:line="240" w:lineRule="auto"/>
      </w:pPr>
      <w:r>
        <w:separator/>
      </w:r>
    </w:p>
  </w:endnote>
  <w:endnote w:type="continuationSeparator" w:id="0">
    <w:p w14:paraId="59E51A58" w14:textId="77777777" w:rsidR="00D97FA7" w:rsidRDefault="00D97FA7" w:rsidP="00EB2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aja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8412822"/>
      <w:docPartObj>
        <w:docPartGallery w:val="Page Numbers (Bottom of Page)"/>
        <w:docPartUnique/>
      </w:docPartObj>
    </w:sdtPr>
    <w:sdtEndPr>
      <w:rPr>
        <w:color w:val="7F7F7F" w:themeColor="background1" w:themeShade="7F"/>
        <w:spacing w:val="60"/>
      </w:rPr>
    </w:sdtEndPr>
    <w:sdtContent>
      <w:p w14:paraId="50F119D0" w14:textId="1E7453DC" w:rsidR="00113FD7" w:rsidRDefault="00113FD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466587" w14:textId="77777777" w:rsidR="00113FD7" w:rsidRDefault="00113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A5CE1" w14:textId="77777777" w:rsidR="00D97FA7" w:rsidRDefault="00D97FA7" w:rsidP="00EB28A8">
      <w:pPr>
        <w:spacing w:after="0" w:line="240" w:lineRule="auto"/>
      </w:pPr>
      <w:r>
        <w:separator/>
      </w:r>
    </w:p>
  </w:footnote>
  <w:footnote w:type="continuationSeparator" w:id="0">
    <w:p w14:paraId="0600312A" w14:textId="77777777" w:rsidR="00D97FA7" w:rsidRDefault="00D97FA7" w:rsidP="00EB28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28E0880"/>
    <w:lvl w:ilvl="0">
      <w:start w:val="1"/>
      <w:numFmt w:val="lowerLetter"/>
      <w:pStyle w:val="ListNumber2"/>
      <w:lvlText w:val="%1)"/>
      <w:lvlJc w:val="left"/>
      <w:pPr>
        <w:ind w:left="643" w:hanging="360"/>
      </w:pPr>
    </w:lvl>
  </w:abstractNum>
  <w:abstractNum w:abstractNumId="1" w15:restartNumberingAfterBreak="0">
    <w:nsid w:val="FFFFFF83"/>
    <w:multiLevelType w:val="singleLevel"/>
    <w:tmpl w:val="E5C40D38"/>
    <w:lvl w:ilvl="0">
      <w:start w:val="1"/>
      <w:numFmt w:val="bullet"/>
      <w:pStyle w:val="ListBullet2"/>
      <w:lvlText w:val="–"/>
      <w:lvlJc w:val="left"/>
      <w:pPr>
        <w:ind w:left="643" w:hanging="360"/>
      </w:pPr>
      <w:rPr>
        <w:rFonts w:ascii="Calibri" w:hAnsi="Calibri" w:hint="default"/>
      </w:rPr>
    </w:lvl>
  </w:abstractNum>
  <w:abstractNum w:abstractNumId="2" w15:restartNumberingAfterBreak="0">
    <w:nsid w:val="FFFFFF88"/>
    <w:multiLevelType w:val="singleLevel"/>
    <w:tmpl w:val="E46CB6F2"/>
    <w:lvl w:ilvl="0">
      <w:start w:val="1"/>
      <w:numFmt w:val="decimal"/>
      <w:pStyle w:val="ListNumber"/>
      <w:lvlText w:val="%1."/>
      <w:lvlJc w:val="left"/>
      <w:pPr>
        <w:ind w:left="360" w:hanging="360"/>
      </w:pPr>
      <w:rPr>
        <w:rFonts w:hint="default"/>
        <w:b/>
        <w:i w:val="0"/>
      </w:rPr>
    </w:lvl>
  </w:abstractNum>
  <w:abstractNum w:abstractNumId="3" w15:restartNumberingAfterBreak="0">
    <w:nsid w:val="FFFFFF89"/>
    <w:multiLevelType w:val="singleLevel"/>
    <w:tmpl w:val="CAFCA22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A9F2A3D"/>
    <w:multiLevelType w:val="hybridMultilevel"/>
    <w:tmpl w:val="1E8E9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7122E26"/>
    <w:multiLevelType w:val="multilevel"/>
    <w:tmpl w:val="AE48833A"/>
    <w:lvl w:ilvl="0">
      <w:start w:val="1"/>
      <w:numFmt w:val="decimal"/>
      <w:lvlText w:val="%1"/>
      <w:lvlJc w:val="left"/>
      <w:pPr>
        <w:ind w:left="432" w:hanging="432"/>
      </w:pPr>
      <w:rPr>
        <w:color w:val="auto"/>
        <w:sz w:val="24"/>
      </w:rPr>
    </w:lvl>
    <w:lvl w:ilvl="1">
      <w:start w:val="1"/>
      <w:numFmt w:val="decimal"/>
      <w:pStyle w:val="Heading5"/>
      <w:lvlText w:val="%1.%2"/>
      <w:lvlJc w:val="left"/>
      <w:pPr>
        <w:ind w:left="576" w:hanging="576"/>
      </w:pPr>
    </w:lvl>
    <w:lvl w:ilvl="2">
      <w:start w:val="1"/>
      <w:numFmt w:val="decimal"/>
      <w:pStyle w:val="Heading6"/>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47500434"/>
    <w:multiLevelType w:val="hybridMultilevel"/>
    <w:tmpl w:val="F814A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E26C13"/>
    <w:multiLevelType w:val="hybridMultilevel"/>
    <w:tmpl w:val="B13A6E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788160214">
    <w:abstractNumId w:val="5"/>
  </w:num>
  <w:num w:numId="2" w16cid:durableId="1643658398">
    <w:abstractNumId w:val="3"/>
  </w:num>
  <w:num w:numId="3" w16cid:durableId="84688565">
    <w:abstractNumId w:val="1"/>
  </w:num>
  <w:num w:numId="4" w16cid:durableId="708146902">
    <w:abstractNumId w:val="2"/>
  </w:num>
  <w:num w:numId="5" w16cid:durableId="1993243837">
    <w:abstractNumId w:val="0"/>
  </w:num>
  <w:num w:numId="6" w16cid:durableId="430129513">
    <w:abstractNumId w:val="4"/>
  </w:num>
  <w:num w:numId="7" w16cid:durableId="638262864">
    <w:abstractNumId w:val="6"/>
  </w:num>
  <w:num w:numId="8" w16cid:durableId="154208924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HNWTable01"/>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71"/>
    <w:rsid w:val="000006BC"/>
    <w:rsid w:val="00001213"/>
    <w:rsid w:val="000017A1"/>
    <w:rsid w:val="00001F8C"/>
    <w:rsid w:val="00004613"/>
    <w:rsid w:val="00005474"/>
    <w:rsid w:val="00006CCB"/>
    <w:rsid w:val="000072B0"/>
    <w:rsid w:val="000073D1"/>
    <w:rsid w:val="00010B1D"/>
    <w:rsid w:val="00011A16"/>
    <w:rsid w:val="00012007"/>
    <w:rsid w:val="00012BF9"/>
    <w:rsid w:val="0001508D"/>
    <w:rsid w:val="00016329"/>
    <w:rsid w:val="0001721E"/>
    <w:rsid w:val="000176D2"/>
    <w:rsid w:val="00017812"/>
    <w:rsid w:val="00017B34"/>
    <w:rsid w:val="0002084E"/>
    <w:rsid w:val="000218F1"/>
    <w:rsid w:val="0002241D"/>
    <w:rsid w:val="0002488F"/>
    <w:rsid w:val="00025089"/>
    <w:rsid w:val="000256B8"/>
    <w:rsid w:val="0002765E"/>
    <w:rsid w:val="0002791C"/>
    <w:rsid w:val="000300E5"/>
    <w:rsid w:val="00030F8D"/>
    <w:rsid w:val="000310AB"/>
    <w:rsid w:val="0003150F"/>
    <w:rsid w:val="00034014"/>
    <w:rsid w:val="000357BE"/>
    <w:rsid w:val="00036FDA"/>
    <w:rsid w:val="00037046"/>
    <w:rsid w:val="00037BFE"/>
    <w:rsid w:val="000400CD"/>
    <w:rsid w:val="00040E36"/>
    <w:rsid w:val="00042755"/>
    <w:rsid w:val="0004442A"/>
    <w:rsid w:val="00045650"/>
    <w:rsid w:val="000458E9"/>
    <w:rsid w:val="00046301"/>
    <w:rsid w:val="00046589"/>
    <w:rsid w:val="00046840"/>
    <w:rsid w:val="00050628"/>
    <w:rsid w:val="0005073D"/>
    <w:rsid w:val="00051004"/>
    <w:rsid w:val="00051451"/>
    <w:rsid w:val="000530FF"/>
    <w:rsid w:val="00053887"/>
    <w:rsid w:val="00054BDB"/>
    <w:rsid w:val="000558CB"/>
    <w:rsid w:val="00055F78"/>
    <w:rsid w:val="0005674F"/>
    <w:rsid w:val="00056D53"/>
    <w:rsid w:val="0005797F"/>
    <w:rsid w:val="00060AB6"/>
    <w:rsid w:val="00061657"/>
    <w:rsid w:val="00063F3C"/>
    <w:rsid w:val="00066C19"/>
    <w:rsid w:val="00066E8A"/>
    <w:rsid w:val="00067753"/>
    <w:rsid w:val="000678F3"/>
    <w:rsid w:val="00071486"/>
    <w:rsid w:val="00074A1A"/>
    <w:rsid w:val="00076007"/>
    <w:rsid w:val="000764FC"/>
    <w:rsid w:val="00077B36"/>
    <w:rsid w:val="00080677"/>
    <w:rsid w:val="00080EAF"/>
    <w:rsid w:val="00082606"/>
    <w:rsid w:val="00082AC2"/>
    <w:rsid w:val="000832DC"/>
    <w:rsid w:val="00083932"/>
    <w:rsid w:val="00083A84"/>
    <w:rsid w:val="00084388"/>
    <w:rsid w:val="000848E7"/>
    <w:rsid w:val="00084D8F"/>
    <w:rsid w:val="00084E22"/>
    <w:rsid w:val="0008698B"/>
    <w:rsid w:val="0008740E"/>
    <w:rsid w:val="00090149"/>
    <w:rsid w:val="00090298"/>
    <w:rsid w:val="00090E25"/>
    <w:rsid w:val="00091262"/>
    <w:rsid w:val="00092611"/>
    <w:rsid w:val="00092751"/>
    <w:rsid w:val="00094875"/>
    <w:rsid w:val="00095523"/>
    <w:rsid w:val="00095963"/>
    <w:rsid w:val="00095BDA"/>
    <w:rsid w:val="0009606F"/>
    <w:rsid w:val="00096323"/>
    <w:rsid w:val="00096979"/>
    <w:rsid w:val="000A032D"/>
    <w:rsid w:val="000A26DE"/>
    <w:rsid w:val="000A36E7"/>
    <w:rsid w:val="000A3B2A"/>
    <w:rsid w:val="000A5F08"/>
    <w:rsid w:val="000A7096"/>
    <w:rsid w:val="000A7689"/>
    <w:rsid w:val="000A7727"/>
    <w:rsid w:val="000A7AA8"/>
    <w:rsid w:val="000A7ACA"/>
    <w:rsid w:val="000B03C8"/>
    <w:rsid w:val="000B053B"/>
    <w:rsid w:val="000B0DED"/>
    <w:rsid w:val="000B12C5"/>
    <w:rsid w:val="000B1350"/>
    <w:rsid w:val="000B2129"/>
    <w:rsid w:val="000B2E0E"/>
    <w:rsid w:val="000B4170"/>
    <w:rsid w:val="000B4202"/>
    <w:rsid w:val="000B4548"/>
    <w:rsid w:val="000B4975"/>
    <w:rsid w:val="000B61C1"/>
    <w:rsid w:val="000B6FDD"/>
    <w:rsid w:val="000B7DF9"/>
    <w:rsid w:val="000B7FFA"/>
    <w:rsid w:val="000C04DA"/>
    <w:rsid w:val="000C0FBA"/>
    <w:rsid w:val="000C13E2"/>
    <w:rsid w:val="000C3188"/>
    <w:rsid w:val="000C3A04"/>
    <w:rsid w:val="000C3E55"/>
    <w:rsid w:val="000C548B"/>
    <w:rsid w:val="000C5E95"/>
    <w:rsid w:val="000C70D2"/>
    <w:rsid w:val="000C7672"/>
    <w:rsid w:val="000D016A"/>
    <w:rsid w:val="000D24CD"/>
    <w:rsid w:val="000D273A"/>
    <w:rsid w:val="000D2914"/>
    <w:rsid w:val="000D2BE8"/>
    <w:rsid w:val="000D2EF0"/>
    <w:rsid w:val="000D44BE"/>
    <w:rsid w:val="000D4ED4"/>
    <w:rsid w:val="000D513F"/>
    <w:rsid w:val="000D5AC5"/>
    <w:rsid w:val="000D5E2E"/>
    <w:rsid w:val="000E2092"/>
    <w:rsid w:val="000E3566"/>
    <w:rsid w:val="000E3D09"/>
    <w:rsid w:val="000E45E4"/>
    <w:rsid w:val="000E7704"/>
    <w:rsid w:val="000F150B"/>
    <w:rsid w:val="000F2053"/>
    <w:rsid w:val="000F2A21"/>
    <w:rsid w:val="000F52AB"/>
    <w:rsid w:val="000F60F5"/>
    <w:rsid w:val="000F626C"/>
    <w:rsid w:val="000F725D"/>
    <w:rsid w:val="000F7387"/>
    <w:rsid w:val="000F7783"/>
    <w:rsid w:val="0010043C"/>
    <w:rsid w:val="00102BB6"/>
    <w:rsid w:val="00102E4C"/>
    <w:rsid w:val="0010573F"/>
    <w:rsid w:val="00105BCC"/>
    <w:rsid w:val="00105FA6"/>
    <w:rsid w:val="001066CC"/>
    <w:rsid w:val="00107049"/>
    <w:rsid w:val="001073CA"/>
    <w:rsid w:val="00107972"/>
    <w:rsid w:val="00110DCC"/>
    <w:rsid w:val="00110DCD"/>
    <w:rsid w:val="001112B5"/>
    <w:rsid w:val="00111526"/>
    <w:rsid w:val="00111862"/>
    <w:rsid w:val="00111F8D"/>
    <w:rsid w:val="001129D6"/>
    <w:rsid w:val="00113FD7"/>
    <w:rsid w:val="00114105"/>
    <w:rsid w:val="0011425F"/>
    <w:rsid w:val="001147D8"/>
    <w:rsid w:val="00114A2E"/>
    <w:rsid w:val="00114FC3"/>
    <w:rsid w:val="00115049"/>
    <w:rsid w:val="00115DDA"/>
    <w:rsid w:val="001163C3"/>
    <w:rsid w:val="0011715A"/>
    <w:rsid w:val="00117C94"/>
    <w:rsid w:val="00120449"/>
    <w:rsid w:val="001218BF"/>
    <w:rsid w:val="00122C58"/>
    <w:rsid w:val="00122E58"/>
    <w:rsid w:val="001239FB"/>
    <w:rsid w:val="00123F12"/>
    <w:rsid w:val="001243C9"/>
    <w:rsid w:val="001244F4"/>
    <w:rsid w:val="00126DB8"/>
    <w:rsid w:val="00126E28"/>
    <w:rsid w:val="001308C8"/>
    <w:rsid w:val="00136204"/>
    <w:rsid w:val="00137324"/>
    <w:rsid w:val="001405F3"/>
    <w:rsid w:val="001415A2"/>
    <w:rsid w:val="00141B5E"/>
    <w:rsid w:val="00143062"/>
    <w:rsid w:val="001440B7"/>
    <w:rsid w:val="0014431E"/>
    <w:rsid w:val="001451A8"/>
    <w:rsid w:val="00145508"/>
    <w:rsid w:val="00147535"/>
    <w:rsid w:val="00147A28"/>
    <w:rsid w:val="00151102"/>
    <w:rsid w:val="0015130E"/>
    <w:rsid w:val="00153932"/>
    <w:rsid w:val="001542BF"/>
    <w:rsid w:val="001545AE"/>
    <w:rsid w:val="00154F9E"/>
    <w:rsid w:val="001558AE"/>
    <w:rsid w:val="00157AF8"/>
    <w:rsid w:val="001616BB"/>
    <w:rsid w:val="0016191A"/>
    <w:rsid w:val="00162A46"/>
    <w:rsid w:val="001632D6"/>
    <w:rsid w:val="00163B7D"/>
    <w:rsid w:val="001642D0"/>
    <w:rsid w:val="001643E3"/>
    <w:rsid w:val="001652D3"/>
    <w:rsid w:val="0016721D"/>
    <w:rsid w:val="001708EB"/>
    <w:rsid w:val="00171550"/>
    <w:rsid w:val="00172116"/>
    <w:rsid w:val="00172387"/>
    <w:rsid w:val="001727F2"/>
    <w:rsid w:val="00173FB8"/>
    <w:rsid w:val="00175A6F"/>
    <w:rsid w:val="001761C6"/>
    <w:rsid w:val="00176974"/>
    <w:rsid w:val="001777BF"/>
    <w:rsid w:val="00180236"/>
    <w:rsid w:val="001805DE"/>
    <w:rsid w:val="00181027"/>
    <w:rsid w:val="00182717"/>
    <w:rsid w:val="00183082"/>
    <w:rsid w:val="00183405"/>
    <w:rsid w:val="00183EDD"/>
    <w:rsid w:val="001846E3"/>
    <w:rsid w:val="00184AC2"/>
    <w:rsid w:val="00185A79"/>
    <w:rsid w:val="00187537"/>
    <w:rsid w:val="00187989"/>
    <w:rsid w:val="001879ED"/>
    <w:rsid w:val="001907EB"/>
    <w:rsid w:val="00190B5B"/>
    <w:rsid w:val="00190C22"/>
    <w:rsid w:val="001918FE"/>
    <w:rsid w:val="00192082"/>
    <w:rsid w:val="001928CD"/>
    <w:rsid w:val="001931DC"/>
    <w:rsid w:val="001934F4"/>
    <w:rsid w:val="00196E07"/>
    <w:rsid w:val="001979FC"/>
    <w:rsid w:val="00197B9B"/>
    <w:rsid w:val="001A141A"/>
    <w:rsid w:val="001A1F51"/>
    <w:rsid w:val="001A2453"/>
    <w:rsid w:val="001A2DA1"/>
    <w:rsid w:val="001A30BA"/>
    <w:rsid w:val="001A3D53"/>
    <w:rsid w:val="001A7A42"/>
    <w:rsid w:val="001B06AA"/>
    <w:rsid w:val="001B08D3"/>
    <w:rsid w:val="001B0D6B"/>
    <w:rsid w:val="001B12A9"/>
    <w:rsid w:val="001B1664"/>
    <w:rsid w:val="001B3923"/>
    <w:rsid w:val="001B6CB4"/>
    <w:rsid w:val="001B6DA8"/>
    <w:rsid w:val="001C03FC"/>
    <w:rsid w:val="001C431B"/>
    <w:rsid w:val="001C4340"/>
    <w:rsid w:val="001C4983"/>
    <w:rsid w:val="001C51F1"/>
    <w:rsid w:val="001C5422"/>
    <w:rsid w:val="001C5785"/>
    <w:rsid w:val="001C5C1E"/>
    <w:rsid w:val="001C7E65"/>
    <w:rsid w:val="001D0CB0"/>
    <w:rsid w:val="001D1BE0"/>
    <w:rsid w:val="001D27DC"/>
    <w:rsid w:val="001D352B"/>
    <w:rsid w:val="001D4157"/>
    <w:rsid w:val="001D4978"/>
    <w:rsid w:val="001D6939"/>
    <w:rsid w:val="001E009D"/>
    <w:rsid w:val="001E0455"/>
    <w:rsid w:val="001E16AE"/>
    <w:rsid w:val="001E2B4C"/>
    <w:rsid w:val="001E2CD5"/>
    <w:rsid w:val="001E3C77"/>
    <w:rsid w:val="001E5116"/>
    <w:rsid w:val="001E6018"/>
    <w:rsid w:val="001E6034"/>
    <w:rsid w:val="001E64FB"/>
    <w:rsid w:val="001E68EF"/>
    <w:rsid w:val="001E7BB2"/>
    <w:rsid w:val="001F13BF"/>
    <w:rsid w:val="001F1609"/>
    <w:rsid w:val="001F1BB2"/>
    <w:rsid w:val="001F3311"/>
    <w:rsid w:val="001F3631"/>
    <w:rsid w:val="001F41C6"/>
    <w:rsid w:val="001F41D2"/>
    <w:rsid w:val="001F5AAD"/>
    <w:rsid w:val="001F621B"/>
    <w:rsid w:val="001F699A"/>
    <w:rsid w:val="001F6BF7"/>
    <w:rsid w:val="001F7C3F"/>
    <w:rsid w:val="00200F95"/>
    <w:rsid w:val="00201A4D"/>
    <w:rsid w:val="002032E2"/>
    <w:rsid w:val="0020369D"/>
    <w:rsid w:val="00205A1C"/>
    <w:rsid w:val="002061AD"/>
    <w:rsid w:val="00206682"/>
    <w:rsid w:val="0021071B"/>
    <w:rsid w:val="00211307"/>
    <w:rsid w:val="0021189B"/>
    <w:rsid w:val="00212697"/>
    <w:rsid w:val="00212DCC"/>
    <w:rsid w:val="00212FE4"/>
    <w:rsid w:val="002158C5"/>
    <w:rsid w:val="00216061"/>
    <w:rsid w:val="00216740"/>
    <w:rsid w:val="00216D19"/>
    <w:rsid w:val="00217339"/>
    <w:rsid w:val="00220A49"/>
    <w:rsid w:val="0022166E"/>
    <w:rsid w:val="002218B5"/>
    <w:rsid w:val="00225A8C"/>
    <w:rsid w:val="00225DE3"/>
    <w:rsid w:val="0022688A"/>
    <w:rsid w:val="00226C85"/>
    <w:rsid w:val="0022755C"/>
    <w:rsid w:val="00230A8F"/>
    <w:rsid w:val="0023164B"/>
    <w:rsid w:val="00232598"/>
    <w:rsid w:val="002339AC"/>
    <w:rsid w:val="00233D00"/>
    <w:rsid w:val="00234D9D"/>
    <w:rsid w:val="002350CD"/>
    <w:rsid w:val="00235353"/>
    <w:rsid w:val="00236F73"/>
    <w:rsid w:val="002376A3"/>
    <w:rsid w:val="0024149E"/>
    <w:rsid w:val="002431FA"/>
    <w:rsid w:val="0024668D"/>
    <w:rsid w:val="00247C5F"/>
    <w:rsid w:val="00247E87"/>
    <w:rsid w:val="0025086B"/>
    <w:rsid w:val="002537E1"/>
    <w:rsid w:val="00254B16"/>
    <w:rsid w:val="0025538C"/>
    <w:rsid w:val="0025660A"/>
    <w:rsid w:val="00256EB9"/>
    <w:rsid w:val="002570D5"/>
    <w:rsid w:val="0025751D"/>
    <w:rsid w:val="00257621"/>
    <w:rsid w:val="00260221"/>
    <w:rsid w:val="00260264"/>
    <w:rsid w:val="00260D16"/>
    <w:rsid w:val="002627B9"/>
    <w:rsid w:val="002645FE"/>
    <w:rsid w:val="00264F56"/>
    <w:rsid w:val="002656F2"/>
    <w:rsid w:val="00267CCC"/>
    <w:rsid w:val="002702CD"/>
    <w:rsid w:val="002702F6"/>
    <w:rsid w:val="00270718"/>
    <w:rsid w:val="002709A4"/>
    <w:rsid w:val="002710BC"/>
    <w:rsid w:val="002720B5"/>
    <w:rsid w:val="00272A52"/>
    <w:rsid w:val="00275C7E"/>
    <w:rsid w:val="002761ED"/>
    <w:rsid w:val="002767D1"/>
    <w:rsid w:val="002772F8"/>
    <w:rsid w:val="00277704"/>
    <w:rsid w:val="0027780B"/>
    <w:rsid w:val="00277A42"/>
    <w:rsid w:val="002804E9"/>
    <w:rsid w:val="002809E4"/>
    <w:rsid w:val="00280EC0"/>
    <w:rsid w:val="00281A35"/>
    <w:rsid w:val="00282C5F"/>
    <w:rsid w:val="00283F6D"/>
    <w:rsid w:val="00286876"/>
    <w:rsid w:val="00286877"/>
    <w:rsid w:val="00286B94"/>
    <w:rsid w:val="002903A6"/>
    <w:rsid w:val="002906FB"/>
    <w:rsid w:val="00290B47"/>
    <w:rsid w:val="00291067"/>
    <w:rsid w:val="0029191E"/>
    <w:rsid w:val="0029438A"/>
    <w:rsid w:val="00294D11"/>
    <w:rsid w:val="00295134"/>
    <w:rsid w:val="00295617"/>
    <w:rsid w:val="00296293"/>
    <w:rsid w:val="00296984"/>
    <w:rsid w:val="00296BDA"/>
    <w:rsid w:val="00296C83"/>
    <w:rsid w:val="002977F8"/>
    <w:rsid w:val="002A02F8"/>
    <w:rsid w:val="002A13EC"/>
    <w:rsid w:val="002A21DA"/>
    <w:rsid w:val="002A26A5"/>
    <w:rsid w:val="002A56C3"/>
    <w:rsid w:val="002A71FA"/>
    <w:rsid w:val="002B052C"/>
    <w:rsid w:val="002B2B13"/>
    <w:rsid w:val="002B2ED2"/>
    <w:rsid w:val="002B3BBC"/>
    <w:rsid w:val="002B45E9"/>
    <w:rsid w:val="002B4AC0"/>
    <w:rsid w:val="002B56F0"/>
    <w:rsid w:val="002B61FC"/>
    <w:rsid w:val="002B7F2F"/>
    <w:rsid w:val="002C183C"/>
    <w:rsid w:val="002C1D4B"/>
    <w:rsid w:val="002C2046"/>
    <w:rsid w:val="002C4839"/>
    <w:rsid w:val="002C4C84"/>
    <w:rsid w:val="002C6C3E"/>
    <w:rsid w:val="002D0C17"/>
    <w:rsid w:val="002D1C33"/>
    <w:rsid w:val="002D47EA"/>
    <w:rsid w:val="002D4F09"/>
    <w:rsid w:val="002D53B9"/>
    <w:rsid w:val="002D5D13"/>
    <w:rsid w:val="002D7C21"/>
    <w:rsid w:val="002E1A3F"/>
    <w:rsid w:val="002E1D59"/>
    <w:rsid w:val="002E2AE9"/>
    <w:rsid w:val="002E535D"/>
    <w:rsid w:val="002E6845"/>
    <w:rsid w:val="002E7897"/>
    <w:rsid w:val="002F043F"/>
    <w:rsid w:val="002F0E91"/>
    <w:rsid w:val="002F2CC6"/>
    <w:rsid w:val="002F3360"/>
    <w:rsid w:val="002F4071"/>
    <w:rsid w:val="002F45CF"/>
    <w:rsid w:val="002F59EA"/>
    <w:rsid w:val="002F5F70"/>
    <w:rsid w:val="00300FD9"/>
    <w:rsid w:val="00301330"/>
    <w:rsid w:val="003033AC"/>
    <w:rsid w:val="0030556E"/>
    <w:rsid w:val="00310DA6"/>
    <w:rsid w:val="00311F31"/>
    <w:rsid w:val="00314A61"/>
    <w:rsid w:val="00315A24"/>
    <w:rsid w:val="0031645E"/>
    <w:rsid w:val="00316AE6"/>
    <w:rsid w:val="00317447"/>
    <w:rsid w:val="0032154C"/>
    <w:rsid w:val="0032174E"/>
    <w:rsid w:val="0032180A"/>
    <w:rsid w:val="0032239E"/>
    <w:rsid w:val="00322449"/>
    <w:rsid w:val="003233E3"/>
    <w:rsid w:val="0032364A"/>
    <w:rsid w:val="00324270"/>
    <w:rsid w:val="00324676"/>
    <w:rsid w:val="00325ABE"/>
    <w:rsid w:val="00327054"/>
    <w:rsid w:val="00327397"/>
    <w:rsid w:val="00327D51"/>
    <w:rsid w:val="003351AA"/>
    <w:rsid w:val="00336EB2"/>
    <w:rsid w:val="0033779B"/>
    <w:rsid w:val="0034094D"/>
    <w:rsid w:val="00340966"/>
    <w:rsid w:val="00341254"/>
    <w:rsid w:val="003417AB"/>
    <w:rsid w:val="00342370"/>
    <w:rsid w:val="00342FD6"/>
    <w:rsid w:val="00343260"/>
    <w:rsid w:val="00343D6F"/>
    <w:rsid w:val="00343D9A"/>
    <w:rsid w:val="00343E9E"/>
    <w:rsid w:val="00344103"/>
    <w:rsid w:val="00344C09"/>
    <w:rsid w:val="00347702"/>
    <w:rsid w:val="003506C8"/>
    <w:rsid w:val="00350F9A"/>
    <w:rsid w:val="00351B55"/>
    <w:rsid w:val="00351D12"/>
    <w:rsid w:val="003549B1"/>
    <w:rsid w:val="00354CB7"/>
    <w:rsid w:val="003554FF"/>
    <w:rsid w:val="00355670"/>
    <w:rsid w:val="003565BB"/>
    <w:rsid w:val="00357BF9"/>
    <w:rsid w:val="003619D7"/>
    <w:rsid w:val="00361F1A"/>
    <w:rsid w:val="00362297"/>
    <w:rsid w:val="003627B9"/>
    <w:rsid w:val="00362B54"/>
    <w:rsid w:val="00363813"/>
    <w:rsid w:val="003638C4"/>
    <w:rsid w:val="00363A88"/>
    <w:rsid w:val="00364070"/>
    <w:rsid w:val="003644E7"/>
    <w:rsid w:val="00364A2C"/>
    <w:rsid w:val="00365400"/>
    <w:rsid w:val="003654CD"/>
    <w:rsid w:val="00365C86"/>
    <w:rsid w:val="00366EA8"/>
    <w:rsid w:val="00371397"/>
    <w:rsid w:val="00371A50"/>
    <w:rsid w:val="0037282C"/>
    <w:rsid w:val="00372AF5"/>
    <w:rsid w:val="00373E37"/>
    <w:rsid w:val="00374B13"/>
    <w:rsid w:val="00375195"/>
    <w:rsid w:val="003757D8"/>
    <w:rsid w:val="00377B5C"/>
    <w:rsid w:val="003824D8"/>
    <w:rsid w:val="00383326"/>
    <w:rsid w:val="00384EB8"/>
    <w:rsid w:val="00385571"/>
    <w:rsid w:val="00387588"/>
    <w:rsid w:val="00387C8F"/>
    <w:rsid w:val="0039159F"/>
    <w:rsid w:val="00391BC9"/>
    <w:rsid w:val="0039208C"/>
    <w:rsid w:val="003921E8"/>
    <w:rsid w:val="00395F1F"/>
    <w:rsid w:val="00396B3C"/>
    <w:rsid w:val="003976EE"/>
    <w:rsid w:val="00397D87"/>
    <w:rsid w:val="003A0E97"/>
    <w:rsid w:val="003A1746"/>
    <w:rsid w:val="003A198B"/>
    <w:rsid w:val="003A45E2"/>
    <w:rsid w:val="003A4B00"/>
    <w:rsid w:val="003A4B8F"/>
    <w:rsid w:val="003A4ED2"/>
    <w:rsid w:val="003A7C20"/>
    <w:rsid w:val="003B086D"/>
    <w:rsid w:val="003B094A"/>
    <w:rsid w:val="003B1467"/>
    <w:rsid w:val="003B1919"/>
    <w:rsid w:val="003B24A2"/>
    <w:rsid w:val="003B2545"/>
    <w:rsid w:val="003B4810"/>
    <w:rsid w:val="003B5A2E"/>
    <w:rsid w:val="003B5C51"/>
    <w:rsid w:val="003C15AC"/>
    <w:rsid w:val="003C1B17"/>
    <w:rsid w:val="003C1DA4"/>
    <w:rsid w:val="003C23F8"/>
    <w:rsid w:val="003C26EF"/>
    <w:rsid w:val="003C279F"/>
    <w:rsid w:val="003C4073"/>
    <w:rsid w:val="003C5147"/>
    <w:rsid w:val="003C5324"/>
    <w:rsid w:val="003C5801"/>
    <w:rsid w:val="003C6F2D"/>
    <w:rsid w:val="003D0503"/>
    <w:rsid w:val="003D19F1"/>
    <w:rsid w:val="003E1682"/>
    <w:rsid w:val="003E1E0A"/>
    <w:rsid w:val="003E1FA0"/>
    <w:rsid w:val="003E2AA4"/>
    <w:rsid w:val="003E37EE"/>
    <w:rsid w:val="003E66A5"/>
    <w:rsid w:val="003E7BC7"/>
    <w:rsid w:val="003F0516"/>
    <w:rsid w:val="003F48A6"/>
    <w:rsid w:val="003F5122"/>
    <w:rsid w:val="003F65C3"/>
    <w:rsid w:val="003F6F54"/>
    <w:rsid w:val="003F73CE"/>
    <w:rsid w:val="0040095F"/>
    <w:rsid w:val="004010C2"/>
    <w:rsid w:val="004015A8"/>
    <w:rsid w:val="00401C8C"/>
    <w:rsid w:val="00402816"/>
    <w:rsid w:val="00402FB6"/>
    <w:rsid w:val="00403EC7"/>
    <w:rsid w:val="00404E3B"/>
    <w:rsid w:val="004100BF"/>
    <w:rsid w:val="0041035D"/>
    <w:rsid w:val="004104F2"/>
    <w:rsid w:val="00410F37"/>
    <w:rsid w:val="00412A09"/>
    <w:rsid w:val="00412F4F"/>
    <w:rsid w:val="00413B5A"/>
    <w:rsid w:val="004142D5"/>
    <w:rsid w:val="00414ED3"/>
    <w:rsid w:val="00415E0C"/>
    <w:rsid w:val="004179B2"/>
    <w:rsid w:val="0042074A"/>
    <w:rsid w:val="00421DFB"/>
    <w:rsid w:val="0042291E"/>
    <w:rsid w:val="004230B4"/>
    <w:rsid w:val="004235F3"/>
    <w:rsid w:val="00423D97"/>
    <w:rsid w:val="0042486D"/>
    <w:rsid w:val="00425BFB"/>
    <w:rsid w:val="004273DE"/>
    <w:rsid w:val="00427E64"/>
    <w:rsid w:val="00427F92"/>
    <w:rsid w:val="00430529"/>
    <w:rsid w:val="00430D76"/>
    <w:rsid w:val="004322E9"/>
    <w:rsid w:val="00433E2E"/>
    <w:rsid w:val="00433FF5"/>
    <w:rsid w:val="004346A4"/>
    <w:rsid w:val="004358E1"/>
    <w:rsid w:val="00435B82"/>
    <w:rsid w:val="00435DC7"/>
    <w:rsid w:val="00436ACA"/>
    <w:rsid w:val="00436EB4"/>
    <w:rsid w:val="004405E5"/>
    <w:rsid w:val="00440D16"/>
    <w:rsid w:val="00440D3D"/>
    <w:rsid w:val="004429BF"/>
    <w:rsid w:val="00442AE0"/>
    <w:rsid w:val="00443C00"/>
    <w:rsid w:val="00444784"/>
    <w:rsid w:val="0044661F"/>
    <w:rsid w:val="00451632"/>
    <w:rsid w:val="0045168D"/>
    <w:rsid w:val="00453990"/>
    <w:rsid w:val="00455665"/>
    <w:rsid w:val="004569FB"/>
    <w:rsid w:val="00457450"/>
    <w:rsid w:val="00457684"/>
    <w:rsid w:val="00457E31"/>
    <w:rsid w:val="00460F76"/>
    <w:rsid w:val="0046215F"/>
    <w:rsid w:val="00462D34"/>
    <w:rsid w:val="004640D3"/>
    <w:rsid w:val="00464732"/>
    <w:rsid w:val="00465805"/>
    <w:rsid w:val="00466DD5"/>
    <w:rsid w:val="0046724E"/>
    <w:rsid w:val="00467F44"/>
    <w:rsid w:val="00470576"/>
    <w:rsid w:val="0047424F"/>
    <w:rsid w:val="00474E5B"/>
    <w:rsid w:val="004755DB"/>
    <w:rsid w:val="00476A74"/>
    <w:rsid w:val="00476B80"/>
    <w:rsid w:val="00476E00"/>
    <w:rsid w:val="00480CA9"/>
    <w:rsid w:val="00481A71"/>
    <w:rsid w:val="00481C63"/>
    <w:rsid w:val="00482A79"/>
    <w:rsid w:val="00485257"/>
    <w:rsid w:val="0048590B"/>
    <w:rsid w:val="00486CF9"/>
    <w:rsid w:val="0048717C"/>
    <w:rsid w:val="004873E0"/>
    <w:rsid w:val="004874EC"/>
    <w:rsid w:val="004877F5"/>
    <w:rsid w:val="00487E51"/>
    <w:rsid w:val="004902C7"/>
    <w:rsid w:val="004908E9"/>
    <w:rsid w:val="00490C51"/>
    <w:rsid w:val="00490C6B"/>
    <w:rsid w:val="0049196F"/>
    <w:rsid w:val="004922DA"/>
    <w:rsid w:val="0049413E"/>
    <w:rsid w:val="00494DCF"/>
    <w:rsid w:val="00495728"/>
    <w:rsid w:val="00495A64"/>
    <w:rsid w:val="00495E72"/>
    <w:rsid w:val="004965C1"/>
    <w:rsid w:val="00496B7E"/>
    <w:rsid w:val="00496E5B"/>
    <w:rsid w:val="00497862"/>
    <w:rsid w:val="004A017F"/>
    <w:rsid w:val="004A0AD6"/>
    <w:rsid w:val="004A1535"/>
    <w:rsid w:val="004A1AC0"/>
    <w:rsid w:val="004A252E"/>
    <w:rsid w:val="004A34E4"/>
    <w:rsid w:val="004A4F77"/>
    <w:rsid w:val="004A734E"/>
    <w:rsid w:val="004B064A"/>
    <w:rsid w:val="004B0A40"/>
    <w:rsid w:val="004B0FB5"/>
    <w:rsid w:val="004B1467"/>
    <w:rsid w:val="004B17FB"/>
    <w:rsid w:val="004B1D18"/>
    <w:rsid w:val="004B2806"/>
    <w:rsid w:val="004B4415"/>
    <w:rsid w:val="004B469E"/>
    <w:rsid w:val="004B57B4"/>
    <w:rsid w:val="004B588D"/>
    <w:rsid w:val="004B7BB6"/>
    <w:rsid w:val="004C1112"/>
    <w:rsid w:val="004C3B67"/>
    <w:rsid w:val="004C3C46"/>
    <w:rsid w:val="004C3E27"/>
    <w:rsid w:val="004C5407"/>
    <w:rsid w:val="004C5474"/>
    <w:rsid w:val="004C59B2"/>
    <w:rsid w:val="004C5B3F"/>
    <w:rsid w:val="004C691E"/>
    <w:rsid w:val="004C7794"/>
    <w:rsid w:val="004D2754"/>
    <w:rsid w:val="004D2D2C"/>
    <w:rsid w:val="004D2D52"/>
    <w:rsid w:val="004D3302"/>
    <w:rsid w:val="004D41D8"/>
    <w:rsid w:val="004D6B2B"/>
    <w:rsid w:val="004E0473"/>
    <w:rsid w:val="004E0B8E"/>
    <w:rsid w:val="004E0CA0"/>
    <w:rsid w:val="004E10E7"/>
    <w:rsid w:val="004E1C4A"/>
    <w:rsid w:val="004E1EAE"/>
    <w:rsid w:val="004E3C80"/>
    <w:rsid w:val="004E55EC"/>
    <w:rsid w:val="004E5EE3"/>
    <w:rsid w:val="004E6F25"/>
    <w:rsid w:val="004F2054"/>
    <w:rsid w:val="004F550F"/>
    <w:rsid w:val="004F55FF"/>
    <w:rsid w:val="004F5AB5"/>
    <w:rsid w:val="004F635E"/>
    <w:rsid w:val="004F6E39"/>
    <w:rsid w:val="004F7659"/>
    <w:rsid w:val="005016B1"/>
    <w:rsid w:val="00502DA1"/>
    <w:rsid w:val="00503B0B"/>
    <w:rsid w:val="00503D92"/>
    <w:rsid w:val="00504D3F"/>
    <w:rsid w:val="00505747"/>
    <w:rsid w:val="0050634B"/>
    <w:rsid w:val="00512FA6"/>
    <w:rsid w:val="00513CA7"/>
    <w:rsid w:val="0051525A"/>
    <w:rsid w:val="0051583F"/>
    <w:rsid w:val="00516171"/>
    <w:rsid w:val="005200E9"/>
    <w:rsid w:val="00520587"/>
    <w:rsid w:val="005220BA"/>
    <w:rsid w:val="00522105"/>
    <w:rsid w:val="0052476C"/>
    <w:rsid w:val="005247E5"/>
    <w:rsid w:val="00524F93"/>
    <w:rsid w:val="00525709"/>
    <w:rsid w:val="005260FF"/>
    <w:rsid w:val="0052688B"/>
    <w:rsid w:val="00526D92"/>
    <w:rsid w:val="0053028C"/>
    <w:rsid w:val="00531B6C"/>
    <w:rsid w:val="00531DCA"/>
    <w:rsid w:val="00531DDE"/>
    <w:rsid w:val="00531E33"/>
    <w:rsid w:val="00532727"/>
    <w:rsid w:val="00533128"/>
    <w:rsid w:val="00533474"/>
    <w:rsid w:val="00534091"/>
    <w:rsid w:val="00535767"/>
    <w:rsid w:val="00535FD4"/>
    <w:rsid w:val="0053717F"/>
    <w:rsid w:val="0054112A"/>
    <w:rsid w:val="00541B53"/>
    <w:rsid w:val="00544647"/>
    <w:rsid w:val="00546F37"/>
    <w:rsid w:val="00547547"/>
    <w:rsid w:val="005539C2"/>
    <w:rsid w:val="00553B02"/>
    <w:rsid w:val="00554A8E"/>
    <w:rsid w:val="00556DF4"/>
    <w:rsid w:val="00557108"/>
    <w:rsid w:val="005576E2"/>
    <w:rsid w:val="005605BD"/>
    <w:rsid w:val="0056120E"/>
    <w:rsid w:val="00561D42"/>
    <w:rsid w:val="00562B59"/>
    <w:rsid w:val="0056303E"/>
    <w:rsid w:val="005640AF"/>
    <w:rsid w:val="00566739"/>
    <w:rsid w:val="00566A53"/>
    <w:rsid w:val="0056717A"/>
    <w:rsid w:val="005672D8"/>
    <w:rsid w:val="0057013D"/>
    <w:rsid w:val="00570259"/>
    <w:rsid w:val="0057102E"/>
    <w:rsid w:val="0057277D"/>
    <w:rsid w:val="00573652"/>
    <w:rsid w:val="005737CD"/>
    <w:rsid w:val="005738C3"/>
    <w:rsid w:val="00574A05"/>
    <w:rsid w:val="00574F6A"/>
    <w:rsid w:val="005769A7"/>
    <w:rsid w:val="005775E2"/>
    <w:rsid w:val="0058031F"/>
    <w:rsid w:val="00580A95"/>
    <w:rsid w:val="00581A97"/>
    <w:rsid w:val="00581C28"/>
    <w:rsid w:val="00584251"/>
    <w:rsid w:val="005851AB"/>
    <w:rsid w:val="0058542D"/>
    <w:rsid w:val="00585652"/>
    <w:rsid w:val="005860E8"/>
    <w:rsid w:val="0058617A"/>
    <w:rsid w:val="0058757B"/>
    <w:rsid w:val="0059008A"/>
    <w:rsid w:val="005909DA"/>
    <w:rsid w:val="00590B4A"/>
    <w:rsid w:val="00590E49"/>
    <w:rsid w:val="00591D87"/>
    <w:rsid w:val="005929BA"/>
    <w:rsid w:val="0059308D"/>
    <w:rsid w:val="005938A8"/>
    <w:rsid w:val="00593BD3"/>
    <w:rsid w:val="005952CF"/>
    <w:rsid w:val="00596604"/>
    <w:rsid w:val="005970B1"/>
    <w:rsid w:val="005A0490"/>
    <w:rsid w:val="005A123C"/>
    <w:rsid w:val="005A1647"/>
    <w:rsid w:val="005A415E"/>
    <w:rsid w:val="005A463B"/>
    <w:rsid w:val="005A4ABD"/>
    <w:rsid w:val="005A4CB4"/>
    <w:rsid w:val="005A5F3D"/>
    <w:rsid w:val="005A7F4E"/>
    <w:rsid w:val="005B03C8"/>
    <w:rsid w:val="005B0D06"/>
    <w:rsid w:val="005B10EE"/>
    <w:rsid w:val="005B21DD"/>
    <w:rsid w:val="005B4281"/>
    <w:rsid w:val="005B5798"/>
    <w:rsid w:val="005B5EF1"/>
    <w:rsid w:val="005B6584"/>
    <w:rsid w:val="005B7424"/>
    <w:rsid w:val="005B759C"/>
    <w:rsid w:val="005C0E2A"/>
    <w:rsid w:val="005C0E5C"/>
    <w:rsid w:val="005C178D"/>
    <w:rsid w:val="005C2609"/>
    <w:rsid w:val="005C4645"/>
    <w:rsid w:val="005C5CE5"/>
    <w:rsid w:val="005C691D"/>
    <w:rsid w:val="005D2435"/>
    <w:rsid w:val="005D30D3"/>
    <w:rsid w:val="005D3711"/>
    <w:rsid w:val="005D39F6"/>
    <w:rsid w:val="005D4428"/>
    <w:rsid w:val="005D57B1"/>
    <w:rsid w:val="005D6DB2"/>
    <w:rsid w:val="005D6E32"/>
    <w:rsid w:val="005D7E5A"/>
    <w:rsid w:val="005E1E51"/>
    <w:rsid w:val="005E2C87"/>
    <w:rsid w:val="005E2FB8"/>
    <w:rsid w:val="005E4C49"/>
    <w:rsid w:val="005E629C"/>
    <w:rsid w:val="005E6B6B"/>
    <w:rsid w:val="005E7342"/>
    <w:rsid w:val="005E768C"/>
    <w:rsid w:val="005F118A"/>
    <w:rsid w:val="005F1AE1"/>
    <w:rsid w:val="005F1D32"/>
    <w:rsid w:val="005F1E09"/>
    <w:rsid w:val="005F21FA"/>
    <w:rsid w:val="005F2B90"/>
    <w:rsid w:val="005F32AC"/>
    <w:rsid w:val="005F55AE"/>
    <w:rsid w:val="005F56CF"/>
    <w:rsid w:val="005F6778"/>
    <w:rsid w:val="005F6840"/>
    <w:rsid w:val="00600E34"/>
    <w:rsid w:val="00600EF9"/>
    <w:rsid w:val="00601243"/>
    <w:rsid w:val="00601375"/>
    <w:rsid w:val="00601B35"/>
    <w:rsid w:val="00602CCD"/>
    <w:rsid w:val="00603004"/>
    <w:rsid w:val="006034A7"/>
    <w:rsid w:val="00604496"/>
    <w:rsid w:val="00604820"/>
    <w:rsid w:val="006058FC"/>
    <w:rsid w:val="006075EB"/>
    <w:rsid w:val="006078FE"/>
    <w:rsid w:val="00610539"/>
    <w:rsid w:val="006115D6"/>
    <w:rsid w:val="00612A0A"/>
    <w:rsid w:val="00612CDE"/>
    <w:rsid w:val="00613E26"/>
    <w:rsid w:val="00614006"/>
    <w:rsid w:val="00614A99"/>
    <w:rsid w:val="0061626F"/>
    <w:rsid w:val="00616433"/>
    <w:rsid w:val="00617146"/>
    <w:rsid w:val="0061725F"/>
    <w:rsid w:val="0062022A"/>
    <w:rsid w:val="0062128C"/>
    <w:rsid w:val="006218F3"/>
    <w:rsid w:val="0062338B"/>
    <w:rsid w:val="006237DD"/>
    <w:rsid w:val="00623C17"/>
    <w:rsid w:val="00625EFD"/>
    <w:rsid w:val="00626974"/>
    <w:rsid w:val="00627621"/>
    <w:rsid w:val="00627B3E"/>
    <w:rsid w:val="00627CB9"/>
    <w:rsid w:val="00630DED"/>
    <w:rsid w:val="006312C1"/>
    <w:rsid w:val="006314AA"/>
    <w:rsid w:val="00631543"/>
    <w:rsid w:val="006318E1"/>
    <w:rsid w:val="0063333D"/>
    <w:rsid w:val="00634FDD"/>
    <w:rsid w:val="00636682"/>
    <w:rsid w:val="006378CB"/>
    <w:rsid w:val="00640499"/>
    <w:rsid w:val="006412E9"/>
    <w:rsid w:val="00641E19"/>
    <w:rsid w:val="00642822"/>
    <w:rsid w:val="00650252"/>
    <w:rsid w:val="006504F7"/>
    <w:rsid w:val="00651220"/>
    <w:rsid w:val="00653261"/>
    <w:rsid w:val="006536A9"/>
    <w:rsid w:val="00656A73"/>
    <w:rsid w:val="006601A3"/>
    <w:rsid w:val="006604D3"/>
    <w:rsid w:val="00662B0C"/>
    <w:rsid w:val="006636F3"/>
    <w:rsid w:val="006642EF"/>
    <w:rsid w:val="00664D4C"/>
    <w:rsid w:val="00667C14"/>
    <w:rsid w:val="00670038"/>
    <w:rsid w:val="00671CB3"/>
    <w:rsid w:val="006729B3"/>
    <w:rsid w:val="006742C4"/>
    <w:rsid w:val="00675F94"/>
    <w:rsid w:val="00677BFA"/>
    <w:rsid w:val="00680B35"/>
    <w:rsid w:val="00680B48"/>
    <w:rsid w:val="00680BB2"/>
    <w:rsid w:val="006820B4"/>
    <w:rsid w:val="006828F2"/>
    <w:rsid w:val="00682F59"/>
    <w:rsid w:val="0068461E"/>
    <w:rsid w:val="00686D84"/>
    <w:rsid w:val="00687048"/>
    <w:rsid w:val="00687F60"/>
    <w:rsid w:val="0069334F"/>
    <w:rsid w:val="00696362"/>
    <w:rsid w:val="0069795D"/>
    <w:rsid w:val="00697DD5"/>
    <w:rsid w:val="006A01FF"/>
    <w:rsid w:val="006A288D"/>
    <w:rsid w:val="006A364A"/>
    <w:rsid w:val="006A38F3"/>
    <w:rsid w:val="006A3FD2"/>
    <w:rsid w:val="006A4952"/>
    <w:rsid w:val="006A4BC4"/>
    <w:rsid w:val="006A4D9D"/>
    <w:rsid w:val="006A56BE"/>
    <w:rsid w:val="006A612D"/>
    <w:rsid w:val="006A6268"/>
    <w:rsid w:val="006A726B"/>
    <w:rsid w:val="006B16FF"/>
    <w:rsid w:val="006B19AD"/>
    <w:rsid w:val="006B1E0C"/>
    <w:rsid w:val="006B2202"/>
    <w:rsid w:val="006B2EC3"/>
    <w:rsid w:val="006B3746"/>
    <w:rsid w:val="006B3822"/>
    <w:rsid w:val="006B39A2"/>
    <w:rsid w:val="006B4F76"/>
    <w:rsid w:val="006B58E3"/>
    <w:rsid w:val="006B60E2"/>
    <w:rsid w:val="006B7FBA"/>
    <w:rsid w:val="006C0630"/>
    <w:rsid w:val="006C0F3A"/>
    <w:rsid w:val="006C1C98"/>
    <w:rsid w:val="006C3294"/>
    <w:rsid w:val="006C3659"/>
    <w:rsid w:val="006C3814"/>
    <w:rsid w:val="006C3BAF"/>
    <w:rsid w:val="006C3C9E"/>
    <w:rsid w:val="006C3FB2"/>
    <w:rsid w:val="006C4055"/>
    <w:rsid w:val="006C4674"/>
    <w:rsid w:val="006C516A"/>
    <w:rsid w:val="006C62A6"/>
    <w:rsid w:val="006C68B8"/>
    <w:rsid w:val="006C6CFC"/>
    <w:rsid w:val="006C7AED"/>
    <w:rsid w:val="006D0434"/>
    <w:rsid w:val="006D25C6"/>
    <w:rsid w:val="006D26E0"/>
    <w:rsid w:val="006D32BE"/>
    <w:rsid w:val="006D367C"/>
    <w:rsid w:val="006D37A4"/>
    <w:rsid w:val="006D3802"/>
    <w:rsid w:val="006D3C9C"/>
    <w:rsid w:val="006D5106"/>
    <w:rsid w:val="006D558E"/>
    <w:rsid w:val="006D64FE"/>
    <w:rsid w:val="006D79DD"/>
    <w:rsid w:val="006D7EB3"/>
    <w:rsid w:val="006E0C60"/>
    <w:rsid w:val="006E0DCD"/>
    <w:rsid w:val="006E1ABF"/>
    <w:rsid w:val="006E26CB"/>
    <w:rsid w:val="006E299C"/>
    <w:rsid w:val="006E3B23"/>
    <w:rsid w:val="006E45D9"/>
    <w:rsid w:val="006E54F1"/>
    <w:rsid w:val="006E5D1F"/>
    <w:rsid w:val="006E6B30"/>
    <w:rsid w:val="006E716F"/>
    <w:rsid w:val="006E7745"/>
    <w:rsid w:val="006F08FE"/>
    <w:rsid w:val="006F2C76"/>
    <w:rsid w:val="006F3AED"/>
    <w:rsid w:val="006F4222"/>
    <w:rsid w:val="006F5D55"/>
    <w:rsid w:val="006F752C"/>
    <w:rsid w:val="00700039"/>
    <w:rsid w:val="007004E3"/>
    <w:rsid w:val="00700656"/>
    <w:rsid w:val="00700CF4"/>
    <w:rsid w:val="00702885"/>
    <w:rsid w:val="00703580"/>
    <w:rsid w:val="007037A8"/>
    <w:rsid w:val="00704DC0"/>
    <w:rsid w:val="0070722D"/>
    <w:rsid w:val="00710080"/>
    <w:rsid w:val="00711DF0"/>
    <w:rsid w:val="00711F59"/>
    <w:rsid w:val="007128CD"/>
    <w:rsid w:val="00712A94"/>
    <w:rsid w:val="00712EFE"/>
    <w:rsid w:val="00712F6A"/>
    <w:rsid w:val="007145A7"/>
    <w:rsid w:val="00714CEB"/>
    <w:rsid w:val="00715AA0"/>
    <w:rsid w:val="00716C33"/>
    <w:rsid w:val="0072131D"/>
    <w:rsid w:val="007233A7"/>
    <w:rsid w:val="00724B5F"/>
    <w:rsid w:val="00726837"/>
    <w:rsid w:val="0073033B"/>
    <w:rsid w:val="00730824"/>
    <w:rsid w:val="00730CC2"/>
    <w:rsid w:val="00733E8C"/>
    <w:rsid w:val="00733FAC"/>
    <w:rsid w:val="007343AC"/>
    <w:rsid w:val="007346C1"/>
    <w:rsid w:val="0073596C"/>
    <w:rsid w:val="00735BDB"/>
    <w:rsid w:val="00736488"/>
    <w:rsid w:val="007367EC"/>
    <w:rsid w:val="0074091A"/>
    <w:rsid w:val="00742B86"/>
    <w:rsid w:val="00743F9B"/>
    <w:rsid w:val="00744CDD"/>
    <w:rsid w:val="00744D85"/>
    <w:rsid w:val="00745215"/>
    <w:rsid w:val="00747B97"/>
    <w:rsid w:val="00747D82"/>
    <w:rsid w:val="00750526"/>
    <w:rsid w:val="007508B3"/>
    <w:rsid w:val="00750A5B"/>
    <w:rsid w:val="00752356"/>
    <w:rsid w:val="00752E7E"/>
    <w:rsid w:val="00754250"/>
    <w:rsid w:val="00754A4F"/>
    <w:rsid w:val="0075502B"/>
    <w:rsid w:val="00755D16"/>
    <w:rsid w:val="0075649C"/>
    <w:rsid w:val="00756FC3"/>
    <w:rsid w:val="00757323"/>
    <w:rsid w:val="00757343"/>
    <w:rsid w:val="00760DD0"/>
    <w:rsid w:val="00761513"/>
    <w:rsid w:val="0076238E"/>
    <w:rsid w:val="007633F4"/>
    <w:rsid w:val="00763854"/>
    <w:rsid w:val="00763D37"/>
    <w:rsid w:val="00764938"/>
    <w:rsid w:val="00764C50"/>
    <w:rsid w:val="00765ED5"/>
    <w:rsid w:val="007660ED"/>
    <w:rsid w:val="0076645B"/>
    <w:rsid w:val="00767F50"/>
    <w:rsid w:val="0077020B"/>
    <w:rsid w:val="00770631"/>
    <w:rsid w:val="007725A2"/>
    <w:rsid w:val="00772A61"/>
    <w:rsid w:val="00773F25"/>
    <w:rsid w:val="0077453D"/>
    <w:rsid w:val="0077455D"/>
    <w:rsid w:val="0077476E"/>
    <w:rsid w:val="007767E7"/>
    <w:rsid w:val="0077696A"/>
    <w:rsid w:val="00776C10"/>
    <w:rsid w:val="00776FBE"/>
    <w:rsid w:val="0077711B"/>
    <w:rsid w:val="00777DF1"/>
    <w:rsid w:val="00777F47"/>
    <w:rsid w:val="00780527"/>
    <w:rsid w:val="007808E9"/>
    <w:rsid w:val="00780ED6"/>
    <w:rsid w:val="00781A24"/>
    <w:rsid w:val="007821D8"/>
    <w:rsid w:val="00784097"/>
    <w:rsid w:val="00784798"/>
    <w:rsid w:val="007854D4"/>
    <w:rsid w:val="00786B50"/>
    <w:rsid w:val="00786C4A"/>
    <w:rsid w:val="0078760F"/>
    <w:rsid w:val="00787FA1"/>
    <w:rsid w:val="0079027C"/>
    <w:rsid w:val="007903A5"/>
    <w:rsid w:val="00790F5A"/>
    <w:rsid w:val="007912D2"/>
    <w:rsid w:val="00792EC6"/>
    <w:rsid w:val="00793973"/>
    <w:rsid w:val="00793C93"/>
    <w:rsid w:val="00793EA7"/>
    <w:rsid w:val="007942EB"/>
    <w:rsid w:val="00794EBE"/>
    <w:rsid w:val="007959FF"/>
    <w:rsid w:val="00795F40"/>
    <w:rsid w:val="007966CF"/>
    <w:rsid w:val="007A079D"/>
    <w:rsid w:val="007A2096"/>
    <w:rsid w:val="007A209E"/>
    <w:rsid w:val="007A32DD"/>
    <w:rsid w:val="007A34AE"/>
    <w:rsid w:val="007A430C"/>
    <w:rsid w:val="007A5EA0"/>
    <w:rsid w:val="007A646F"/>
    <w:rsid w:val="007A7779"/>
    <w:rsid w:val="007A79A2"/>
    <w:rsid w:val="007A7BA9"/>
    <w:rsid w:val="007B07C4"/>
    <w:rsid w:val="007B1C1B"/>
    <w:rsid w:val="007B239A"/>
    <w:rsid w:val="007B3592"/>
    <w:rsid w:val="007B4587"/>
    <w:rsid w:val="007B57BE"/>
    <w:rsid w:val="007B5FFB"/>
    <w:rsid w:val="007B64EC"/>
    <w:rsid w:val="007B66C6"/>
    <w:rsid w:val="007B675F"/>
    <w:rsid w:val="007B7874"/>
    <w:rsid w:val="007B7DEB"/>
    <w:rsid w:val="007C01EB"/>
    <w:rsid w:val="007C1227"/>
    <w:rsid w:val="007C1EDA"/>
    <w:rsid w:val="007C54D4"/>
    <w:rsid w:val="007C5668"/>
    <w:rsid w:val="007C56E9"/>
    <w:rsid w:val="007C620D"/>
    <w:rsid w:val="007C64CC"/>
    <w:rsid w:val="007D0366"/>
    <w:rsid w:val="007D0C99"/>
    <w:rsid w:val="007D1BED"/>
    <w:rsid w:val="007D2C54"/>
    <w:rsid w:val="007D4100"/>
    <w:rsid w:val="007D590D"/>
    <w:rsid w:val="007D67D9"/>
    <w:rsid w:val="007D73F6"/>
    <w:rsid w:val="007D7864"/>
    <w:rsid w:val="007E0186"/>
    <w:rsid w:val="007E048D"/>
    <w:rsid w:val="007E09CF"/>
    <w:rsid w:val="007E0A86"/>
    <w:rsid w:val="007E1B21"/>
    <w:rsid w:val="007E1D1D"/>
    <w:rsid w:val="007E21F4"/>
    <w:rsid w:val="007E25F5"/>
    <w:rsid w:val="007E3161"/>
    <w:rsid w:val="007E3EFA"/>
    <w:rsid w:val="007E4696"/>
    <w:rsid w:val="007E46C0"/>
    <w:rsid w:val="007E5C21"/>
    <w:rsid w:val="007E753C"/>
    <w:rsid w:val="007F084A"/>
    <w:rsid w:val="007F0FC4"/>
    <w:rsid w:val="007F1108"/>
    <w:rsid w:val="007F179F"/>
    <w:rsid w:val="007F2F07"/>
    <w:rsid w:val="007F4AD0"/>
    <w:rsid w:val="007F4CD0"/>
    <w:rsid w:val="0080299F"/>
    <w:rsid w:val="00802B2D"/>
    <w:rsid w:val="00802B47"/>
    <w:rsid w:val="00802E86"/>
    <w:rsid w:val="008031A9"/>
    <w:rsid w:val="00803BDF"/>
    <w:rsid w:val="00804AE4"/>
    <w:rsid w:val="00806AB2"/>
    <w:rsid w:val="00807CEB"/>
    <w:rsid w:val="00807EF6"/>
    <w:rsid w:val="008116BB"/>
    <w:rsid w:val="00811AB7"/>
    <w:rsid w:val="0081288E"/>
    <w:rsid w:val="00812E92"/>
    <w:rsid w:val="008134E9"/>
    <w:rsid w:val="008146B7"/>
    <w:rsid w:val="008150EC"/>
    <w:rsid w:val="00816933"/>
    <w:rsid w:val="00816F91"/>
    <w:rsid w:val="008214C4"/>
    <w:rsid w:val="00821A46"/>
    <w:rsid w:val="008229BA"/>
    <w:rsid w:val="00822C82"/>
    <w:rsid w:val="0082609E"/>
    <w:rsid w:val="008261BB"/>
    <w:rsid w:val="008267DB"/>
    <w:rsid w:val="008275F0"/>
    <w:rsid w:val="008276D8"/>
    <w:rsid w:val="00830BE7"/>
    <w:rsid w:val="00830C8C"/>
    <w:rsid w:val="00831CD8"/>
    <w:rsid w:val="00831E48"/>
    <w:rsid w:val="008321BA"/>
    <w:rsid w:val="00832855"/>
    <w:rsid w:val="00832C3A"/>
    <w:rsid w:val="00832C40"/>
    <w:rsid w:val="00833246"/>
    <w:rsid w:val="00833264"/>
    <w:rsid w:val="0083374B"/>
    <w:rsid w:val="008348B4"/>
    <w:rsid w:val="0083537A"/>
    <w:rsid w:val="008357D6"/>
    <w:rsid w:val="008361F3"/>
    <w:rsid w:val="008363BA"/>
    <w:rsid w:val="0083662A"/>
    <w:rsid w:val="00836818"/>
    <w:rsid w:val="00841264"/>
    <w:rsid w:val="008419F1"/>
    <w:rsid w:val="00841E43"/>
    <w:rsid w:val="00844677"/>
    <w:rsid w:val="00844ACA"/>
    <w:rsid w:val="008458A1"/>
    <w:rsid w:val="00846711"/>
    <w:rsid w:val="00846741"/>
    <w:rsid w:val="00850E8E"/>
    <w:rsid w:val="00850EBA"/>
    <w:rsid w:val="00851149"/>
    <w:rsid w:val="00852528"/>
    <w:rsid w:val="008525EF"/>
    <w:rsid w:val="00853188"/>
    <w:rsid w:val="00854173"/>
    <w:rsid w:val="00854F20"/>
    <w:rsid w:val="008554EA"/>
    <w:rsid w:val="008555F0"/>
    <w:rsid w:val="008577EF"/>
    <w:rsid w:val="00860682"/>
    <w:rsid w:val="008614EE"/>
    <w:rsid w:val="0086169A"/>
    <w:rsid w:val="00861BFA"/>
    <w:rsid w:val="00862190"/>
    <w:rsid w:val="00863455"/>
    <w:rsid w:val="00863C4E"/>
    <w:rsid w:val="0086440D"/>
    <w:rsid w:val="0086489D"/>
    <w:rsid w:val="0086592D"/>
    <w:rsid w:val="00867438"/>
    <w:rsid w:val="00867FD2"/>
    <w:rsid w:val="008701C6"/>
    <w:rsid w:val="00870A92"/>
    <w:rsid w:val="0087118C"/>
    <w:rsid w:val="00871B21"/>
    <w:rsid w:val="0087289C"/>
    <w:rsid w:val="0087348B"/>
    <w:rsid w:val="00873C17"/>
    <w:rsid w:val="008743EC"/>
    <w:rsid w:val="00877A32"/>
    <w:rsid w:val="008800CA"/>
    <w:rsid w:val="00880118"/>
    <w:rsid w:val="0088021D"/>
    <w:rsid w:val="008811F8"/>
    <w:rsid w:val="00881EA1"/>
    <w:rsid w:val="008822B6"/>
    <w:rsid w:val="008823CF"/>
    <w:rsid w:val="00883394"/>
    <w:rsid w:val="00883BA0"/>
    <w:rsid w:val="00884B7B"/>
    <w:rsid w:val="008855EF"/>
    <w:rsid w:val="0088696A"/>
    <w:rsid w:val="00886A44"/>
    <w:rsid w:val="00890451"/>
    <w:rsid w:val="0089173A"/>
    <w:rsid w:val="00892627"/>
    <w:rsid w:val="00892EB2"/>
    <w:rsid w:val="00894706"/>
    <w:rsid w:val="00894F9E"/>
    <w:rsid w:val="00896581"/>
    <w:rsid w:val="0089672B"/>
    <w:rsid w:val="008970F9"/>
    <w:rsid w:val="0089710F"/>
    <w:rsid w:val="008A0FAC"/>
    <w:rsid w:val="008A1F08"/>
    <w:rsid w:val="008A24B6"/>
    <w:rsid w:val="008A24E2"/>
    <w:rsid w:val="008A35D6"/>
    <w:rsid w:val="008A3771"/>
    <w:rsid w:val="008A3902"/>
    <w:rsid w:val="008A3B7C"/>
    <w:rsid w:val="008A419F"/>
    <w:rsid w:val="008A4536"/>
    <w:rsid w:val="008A4A7F"/>
    <w:rsid w:val="008A4D67"/>
    <w:rsid w:val="008A4DA5"/>
    <w:rsid w:val="008A5751"/>
    <w:rsid w:val="008A6918"/>
    <w:rsid w:val="008B010A"/>
    <w:rsid w:val="008B0833"/>
    <w:rsid w:val="008B1F03"/>
    <w:rsid w:val="008B2268"/>
    <w:rsid w:val="008B297D"/>
    <w:rsid w:val="008B3BAE"/>
    <w:rsid w:val="008B5AED"/>
    <w:rsid w:val="008B6D1A"/>
    <w:rsid w:val="008B7BB4"/>
    <w:rsid w:val="008C171B"/>
    <w:rsid w:val="008C1D78"/>
    <w:rsid w:val="008C2608"/>
    <w:rsid w:val="008C3AF3"/>
    <w:rsid w:val="008C3EF9"/>
    <w:rsid w:val="008C461D"/>
    <w:rsid w:val="008C4F24"/>
    <w:rsid w:val="008C5C18"/>
    <w:rsid w:val="008C61CB"/>
    <w:rsid w:val="008D0519"/>
    <w:rsid w:val="008D1240"/>
    <w:rsid w:val="008D18BF"/>
    <w:rsid w:val="008D1B7C"/>
    <w:rsid w:val="008D2CF4"/>
    <w:rsid w:val="008D4068"/>
    <w:rsid w:val="008D4DC6"/>
    <w:rsid w:val="008D61E3"/>
    <w:rsid w:val="008D627F"/>
    <w:rsid w:val="008D6715"/>
    <w:rsid w:val="008D787E"/>
    <w:rsid w:val="008D78CF"/>
    <w:rsid w:val="008E0127"/>
    <w:rsid w:val="008E0572"/>
    <w:rsid w:val="008E3208"/>
    <w:rsid w:val="008E3CF5"/>
    <w:rsid w:val="008E4221"/>
    <w:rsid w:val="008E5D1F"/>
    <w:rsid w:val="008E757D"/>
    <w:rsid w:val="008E7965"/>
    <w:rsid w:val="008F12F3"/>
    <w:rsid w:val="008F23A8"/>
    <w:rsid w:val="008F41D2"/>
    <w:rsid w:val="008F5026"/>
    <w:rsid w:val="008F5FF7"/>
    <w:rsid w:val="008F6EE3"/>
    <w:rsid w:val="008F7018"/>
    <w:rsid w:val="00900EB4"/>
    <w:rsid w:val="00901C40"/>
    <w:rsid w:val="009034BF"/>
    <w:rsid w:val="00904016"/>
    <w:rsid w:val="00904843"/>
    <w:rsid w:val="0090557C"/>
    <w:rsid w:val="009057E2"/>
    <w:rsid w:val="0090611C"/>
    <w:rsid w:val="00907005"/>
    <w:rsid w:val="00907370"/>
    <w:rsid w:val="009073D2"/>
    <w:rsid w:val="0091099F"/>
    <w:rsid w:val="00910A84"/>
    <w:rsid w:val="00910A98"/>
    <w:rsid w:val="009112D8"/>
    <w:rsid w:val="00912096"/>
    <w:rsid w:val="00913545"/>
    <w:rsid w:val="00913FDF"/>
    <w:rsid w:val="0091516C"/>
    <w:rsid w:val="00915675"/>
    <w:rsid w:val="00915D90"/>
    <w:rsid w:val="00916D52"/>
    <w:rsid w:val="0092022A"/>
    <w:rsid w:val="0092067A"/>
    <w:rsid w:val="00922434"/>
    <w:rsid w:val="0092275E"/>
    <w:rsid w:val="00922929"/>
    <w:rsid w:val="00922DE0"/>
    <w:rsid w:val="00927225"/>
    <w:rsid w:val="009300A6"/>
    <w:rsid w:val="00930841"/>
    <w:rsid w:val="00931211"/>
    <w:rsid w:val="00931D6A"/>
    <w:rsid w:val="0093303F"/>
    <w:rsid w:val="009341D1"/>
    <w:rsid w:val="00934A2F"/>
    <w:rsid w:val="00937E69"/>
    <w:rsid w:val="009401B2"/>
    <w:rsid w:val="00941D9F"/>
    <w:rsid w:val="009452BE"/>
    <w:rsid w:val="0094539D"/>
    <w:rsid w:val="0095037E"/>
    <w:rsid w:val="009516D5"/>
    <w:rsid w:val="00951828"/>
    <w:rsid w:val="0095262A"/>
    <w:rsid w:val="00953E75"/>
    <w:rsid w:val="00954F14"/>
    <w:rsid w:val="00954F5E"/>
    <w:rsid w:val="00955680"/>
    <w:rsid w:val="0095603A"/>
    <w:rsid w:val="009560D8"/>
    <w:rsid w:val="00957EC9"/>
    <w:rsid w:val="00962744"/>
    <w:rsid w:val="00962AD5"/>
    <w:rsid w:val="009631ED"/>
    <w:rsid w:val="00964425"/>
    <w:rsid w:val="0096478F"/>
    <w:rsid w:val="00965252"/>
    <w:rsid w:val="0096556B"/>
    <w:rsid w:val="009657F3"/>
    <w:rsid w:val="00966124"/>
    <w:rsid w:val="009677B1"/>
    <w:rsid w:val="0096795C"/>
    <w:rsid w:val="009708AD"/>
    <w:rsid w:val="00972621"/>
    <w:rsid w:val="009741E1"/>
    <w:rsid w:val="009744FA"/>
    <w:rsid w:val="0097507F"/>
    <w:rsid w:val="00975201"/>
    <w:rsid w:val="009756E0"/>
    <w:rsid w:val="00975C44"/>
    <w:rsid w:val="00975DDE"/>
    <w:rsid w:val="00976AE6"/>
    <w:rsid w:val="00977DA9"/>
    <w:rsid w:val="00980D88"/>
    <w:rsid w:val="00981801"/>
    <w:rsid w:val="00981B85"/>
    <w:rsid w:val="009829D6"/>
    <w:rsid w:val="00984AC0"/>
    <w:rsid w:val="00986639"/>
    <w:rsid w:val="009866CA"/>
    <w:rsid w:val="00986DE5"/>
    <w:rsid w:val="009902A4"/>
    <w:rsid w:val="00990543"/>
    <w:rsid w:val="0099203B"/>
    <w:rsid w:val="00992554"/>
    <w:rsid w:val="009926A8"/>
    <w:rsid w:val="009940CB"/>
    <w:rsid w:val="0099530F"/>
    <w:rsid w:val="00995C0F"/>
    <w:rsid w:val="00996BCF"/>
    <w:rsid w:val="00997A4E"/>
    <w:rsid w:val="009A1740"/>
    <w:rsid w:val="009A1A13"/>
    <w:rsid w:val="009A1E16"/>
    <w:rsid w:val="009A1EC5"/>
    <w:rsid w:val="009A6229"/>
    <w:rsid w:val="009A6978"/>
    <w:rsid w:val="009A749F"/>
    <w:rsid w:val="009B088B"/>
    <w:rsid w:val="009B0C92"/>
    <w:rsid w:val="009B0E17"/>
    <w:rsid w:val="009B1992"/>
    <w:rsid w:val="009B2460"/>
    <w:rsid w:val="009B2BEC"/>
    <w:rsid w:val="009B2F35"/>
    <w:rsid w:val="009B35D2"/>
    <w:rsid w:val="009B38B3"/>
    <w:rsid w:val="009B39B2"/>
    <w:rsid w:val="009B5A59"/>
    <w:rsid w:val="009B624F"/>
    <w:rsid w:val="009B6880"/>
    <w:rsid w:val="009B6E28"/>
    <w:rsid w:val="009B7063"/>
    <w:rsid w:val="009B70AF"/>
    <w:rsid w:val="009C212E"/>
    <w:rsid w:val="009C2C4E"/>
    <w:rsid w:val="009C3295"/>
    <w:rsid w:val="009C479B"/>
    <w:rsid w:val="009C6B36"/>
    <w:rsid w:val="009C7D67"/>
    <w:rsid w:val="009C7E09"/>
    <w:rsid w:val="009D15E1"/>
    <w:rsid w:val="009D26B6"/>
    <w:rsid w:val="009D2BC7"/>
    <w:rsid w:val="009D3CEB"/>
    <w:rsid w:val="009D3F35"/>
    <w:rsid w:val="009D49DB"/>
    <w:rsid w:val="009D5414"/>
    <w:rsid w:val="009D6197"/>
    <w:rsid w:val="009D66EE"/>
    <w:rsid w:val="009D6734"/>
    <w:rsid w:val="009E03D1"/>
    <w:rsid w:val="009E083F"/>
    <w:rsid w:val="009E18CB"/>
    <w:rsid w:val="009E2B99"/>
    <w:rsid w:val="009E2FDA"/>
    <w:rsid w:val="009E5505"/>
    <w:rsid w:val="009E5F01"/>
    <w:rsid w:val="009E6107"/>
    <w:rsid w:val="009E742F"/>
    <w:rsid w:val="009E7954"/>
    <w:rsid w:val="009E7EF6"/>
    <w:rsid w:val="009F0238"/>
    <w:rsid w:val="009F0449"/>
    <w:rsid w:val="009F0482"/>
    <w:rsid w:val="009F1758"/>
    <w:rsid w:val="009F18F6"/>
    <w:rsid w:val="009F26B6"/>
    <w:rsid w:val="009F3418"/>
    <w:rsid w:val="009F6CC0"/>
    <w:rsid w:val="009F6E4C"/>
    <w:rsid w:val="009F76FE"/>
    <w:rsid w:val="00A00814"/>
    <w:rsid w:val="00A00F13"/>
    <w:rsid w:val="00A01081"/>
    <w:rsid w:val="00A013B5"/>
    <w:rsid w:val="00A03A5F"/>
    <w:rsid w:val="00A045DC"/>
    <w:rsid w:val="00A051C1"/>
    <w:rsid w:val="00A10C69"/>
    <w:rsid w:val="00A128A7"/>
    <w:rsid w:val="00A129D9"/>
    <w:rsid w:val="00A14121"/>
    <w:rsid w:val="00A147BB"/>
    <w:rsid w:val="00A14895"/>
    <w:rsid w:val="00A148AD"/>
    <w:rsid w:val="00A15473"/>
    <w:rsid w:val="00A159E2"/>
    <w:rsid w:val="00A16871"/>
    <w:rsid w:val="00A16C57"/>
    <w:rsid w:val="00A21486"/>
    <w:rsid w:val="00A22047"/>
    <w:rsid w:val="00A222FF"/>
    <w:rsid w:val="00A22F18"/>
    <w:rsid w:val="00A23AF0"/>
    <w:rsid w:val="00A2477F"/>
    <w:rsid w:val="00A24C96"/>
    <w:rsid w:val="00A25255"/>
    <w:rsid w:val="00A255C6"/>
    <w:rsid w:val="00A27AD9"/>
    <w:rsid w:val="00A303B6"/>
    <w:rsid w:val="00A3063D"/>
    <w:rsid w:val="00A322BD"/>
    <w:rsid w:val="00A32D8C"/>
    <w:rsid w:val="00A3418C"/>
    <w:rsid w:val="00A35110"/>
    <w:rsid w:val="00A366D1"/>
    <w:rsid w:val="00A36909"/>
    <w:rsid w:val="00A413AA"/>
    <w:rsid w:val="00A438C6"/>
    <w:rsid w:val="00A4419E"/>
    <w:rsid w:val="00A443FF"/>
    <w:rsid w:val="00A447D3"/>
    <w:rsid w:val="00A44BB4"/>
    <w:rsid w:val="00A462A3"/>
    <w:rsid w:val="00A46380"/>
    <w:rsid w:val="00A46E1D"/>
    <w:rsid w:val="00A52972"/>
    <w:rsid w:val="00A53D99"/>
    <w:rsid w:val="00A54119"/>
    <w:rsid w:val="00A5423D"/>
    <w:rsid w:val="00A543A5"/>
    <w:rsid w:val="00A546F0"/>
    <w:rsid w:val="00A54BE4"/>
    <w:rsid w:val="00A55B12"/>
    <w:rsid w:val="00A56034"/>
    <w:rsid w:val="00A60A5E"/>
    <w:rsid w:val="00A63761"/>
    <w:rsid w:val="00A64C25"/>
    <w:rsid w:val="00A653E3"/>
    <w:rsid w:val="00A65ED5"/>
    <w:rsid w:val="00A665A7"/>
    <w:rsid w:val="00A66651"/>
    <w:rsid w:val="00A672C2"/>
    <w:rsid w:val="00A70659"/>
    <w:rsid w:val="00A70A09"/>
    <w:rsid w:val="00A70F86"/>
    <w:rsid w:val="00A7179B"/>
    <w:rsid w:val="00A71A5F"/>
    <w:rsid w:val="00A71E6A"/>
    <w:rsid w:val="00A72332"/>
    <w:rsid w:val="00A72850"/>
    <w:rsid w:val="00A7402B"/>
    <w:rsid w:val="00A7452C"/>
    <w:rsid w:val="00A748EC"/>
    <w:rsid w:val="00A75682"/>
    <w:rsid w:val="00A76F0E"/>
    <w:rsid w:val="00A77143"/>
    <w:rsid w:val="00A7764C"/>
    <w:rsid w:val="00A77B25"/>
    <w:rsid w:val="00A801A4"/>
    <w:rsid w:val="00A81BD3"/>
    <w:rsid w:val="00A81D48"/>
    <w:rsid w:val="00A82292"/>
    <w:rsid w:val="00A83080"/>
    <w:rsid w:val="00A835F3"/>
    <w:rsid w:val="00A845FA"/>
    <w:rsid w:val="00A84979"/>
    <w:rsid w:val="00A84B83"/>
    <w:rsid w:val="00A84E83"/>
    <w:rsid w:val="00A85A05"/>
    <w:rsid w:val="00A87065"/>
    <w:rsid w:val="00A911F7"/>
    <w:rsid w:val="00A9301F"/>
    <w:rsid w:val="00A933B9"/>
    <w:rsid w:val="00A94C92"/>
    <w:rsid w:val="00A95644"/>
    <w:rsid w:val="00A95835"/>
    <w:rsid w:val="00A972FA"/>
    <w:rsid w:val="00A97612"/>
    <w:rsid w:val="00A9793C"/>
    <w:rsid w:val="00AA3715"/>
    <w:rsid w:val="00AA45F6"/>
    <w:rsid w:val="00AA61C2"/>
    <w:rsid w:val="00AA627D"/>
    <w:rsid w:val="00AA69BE"/>
    <w:rsid w:val="00AB090A"/>
    <w:rsid w:val="00AB0F8B"/>
    <w:rsid w:val="00AB2F79"/>
    <w:rsid w:val="00AB4CD9"/>
    <w:rsid w:val="00AB4FED"/>
    <w:rsid w:val="00AB51EB"/>
    <w:rsid w:val="00AB54D0"/>
    <w:rsid w:val="00AB5EAA"/>
    <w:rsid w:val="00AB5FAE"/>
    <w:rsid w:val="00AC1586"/>
    <w:rsid w:val="00AC1F0D"/>
    <w:rsid w:val="00AC47C2"/>
    <w:rsid w:val="00AC5143"/>
    <w:rsid w:val="00AC60AE"/>
    <w:rsid w:val="00AC6A60"/>
    <w:rsid w:val="00AC7511"/>
    <w:rsid w:val="00AD093E"/>
    <w:rsid w:val="00AD2598"/>
    <w:rsid w:val="00AD2DB3"/>
    <w:rsid w:val="00AD3299"/>
    <w:rsid w:val="00AD47B6"/>
    <w:rsid w:val="00AD67E8"/>
    <w:rsid w:val="00AE0C14"/>
    <w:rsid w:val="00AE38D4"/>
    <w:rsid w:val="00AE423D"/>
    <w:rsid w:val="00AE54F6"/>
    <w:rsid w:val="00AE6AF6"/>
    <w:rsid w:val="00AE7144"/>
    <w:rsid w:val="00AE7B55"/>
    <w:rsid w:val="00AF0D66"/>
    <w:rsid w:val="00AF10AA"/>
    <w:rsid w:val="00AF137B"/>
    <w:rsid w:val="00AF2269"/>
    <w:rsid w:val="00AF25FE"/>
    <w:rsid w:val="00AF3041"/>
    <w:rsid w:val="00AF31FD"/>
    <w:rsid w:val="00AF35A5"/>
    <w:rsid w:val="00AF47FF"/>
    <w:rsid w:val="00AF5A65"/>
    <w:rsid w:val="00AF5AB7"/>
    <w:rsid w:val="00AF5C06"/>
    <w:rsid w:val="00AF63BB"/>
    <w:rsid w:val="00AF72BE"/>
    <w:rsid w:val="00AF7EE3"/>
    <w:rsid w:val="00B00917"/>
    <w:rsid w:val="00B01E10"/>
    <w:rsid w:val="00B02125"/>
    <w:rsid w:val="00B0357D"/>
    <w:rsid w:val="00B04D6E"/>
    <w:rsid w:val="00B04E1B"/>
    <w:rsid w:val="00B05AFA"/>
    <w:rsid w:val="00B066C6"/>
    <w:rsid w:val="00B07F89"/>
    <w:rsid w:val="00B108C5"/>
    <w:rsid w:val="00B115AE"/>
    <w:rsid w:val="00B11817"/>
    <w:rsid w:val="00B122D4"/>
    <w:rsid w:val="00B12375"/>
    <w:rsid w:val="00B13339"/>
    <w:rsid w:val="00B140A8"/>
    <w:rsid w:val="00B16EF3"/>
    <w:rsid w:val="00B2004C"/>
    <w:rsid w:val="00B20411"/>
    <w:rsid w:val="00B20B6A"/>
    <w:rsid w:val="00B21D78"/>
    <w:rsid w:val="00B22254"/>
    <w:rsid w:val="00B23557"/>
    <w:rsid w:val="00B23BF2"/>
    <w:rsid w:val="00B24141"/>
    <w:rsid w:val="00B2416D"/>
    <w:rsid w:val="00B24CEA"/>
    <w:rsid w:val="00B26539"/>
    <w:rsid w:val="00B2741F"/>
    <w:rsid w:val="00B2779A"/>
    <w:rsid w:val="00B27AAF"/>
    <w:rsid w:val="00B27ABF"/>
    <w:rsid w:val="00B307ED"/>
    <w:rsid w:val="00B30DA1"/>
    <w:rsid w:val="00B310AE"/>
    <w:rsid w:val="00B311C6"/>
    <w:rsid w:val="00B34A65"/>
    <w:rsid w:val="00B34E56"/>
    <w:rsid w:val="00B36379"/>
    <w:rsid w:val="00B40CB4"/>
    <w:rsid w:val="00B415F3"/>
    <w:rsid w:val="00B4208C"/>
    <w:rsid w:val="00B423C9"/>
    <w:rsid w:val="00B425C6"/>
    <w:rsid w:val="00B437CB"/>
    <w:rsid w:val="00B44107"/>
    <w:rsid w:val="00B441B7"/>
    <w:rsid w:val="00B44267"/>
    <w:rsid w:val="00B44620"/>
    <w:rsid w:val="00B446CB"/>
    <w:rsid w:val="00B44AF0"/>
    <w:rsid w:val="00B45576"/>
    <w:rsid w:val="00B459D1"/>
    <w:rsid w:val="00B47367"/>
    <w:rsid w:val="00B52751"/>
    <w:rsid w:val="00B52912"/>
    <w:rsid w:val="00B53288"/>
    <w:rsid w:val="00B54408"/>
    <w:rsid w:val="00B55883"/>
    <w:rsid w:val="00B55D9D"/>
    <w:rsid w:val="00B56D75"/>
    <w:rsid w:val="00B61A25"/>
    <w:rsid w:val="00B63FEC"/>
    <w:rsid w:val="00B648FE"/>
    <w:rsid w:val="00B64A21"/>
    <w:rsid w:val="00B6506F"/>
    <w:rsid w:val="00B65180"/>
    <w:rsid w:val="00B65AF5"/>
    <w:rsid w:val="00B6686A"/>
    <w:rsid w:val="00B67B9C"/>
    <w:rsid w:val="00B700A9"/>
    <w:rsid w:val="00B72725"/>
    <w:rsid w:val="00B72940"/>
    <w:rsid w:val="00B729B7"/>
    <w:rsid w:val="00B731A1"/>
    <w:rsid w:val="00B75178"/>
    <w:rsid w:val="00B75927"/>
    <w:rsid w:val="00B76606"/>
    <w:rsid w:val="00B76DC1"/>
    <w:rsid w:val="00B800F9"/>
    <w:rsid w:val="00B811D5"/>
    <w:rsid w:val="00B81344"/>
    <w:rsid w:val="00B83875"/>
    <w:rsid w:val="00B86009"/>
    <w:rsid w:val="00B863F2"/>
    <w:rsid w:val="00B86794"/>
    <w:rsid w:val="00B87B5D"/>
    <w:rsid w:val="00B87F8B"/>
    <w:rsid w:val="00B913C4"/>
    <w:rsid w:val="00B92560"/>
    <w:rsid w:val="00B92DEA"/>
    <w:rsid w:val="00B94863"/>
    <w:rsid w:val="00B971C6"/>
    <w:rsid w:val="00B97A5F"/>
    <w:rsid w:val="00BA0293"/>
    <w:rsid w:val="00BA099B"/>
    <w:rsid w:val="00BA0C68"/>
    <w:rsid w:val="00BA1027"/>
    <w:rsid w:val="00BA1109"/>
    <w:rsid w:val="00BA230E"/>
    <w:rsid w:val="00BA2B8F"/>
    <w:rsid w:val="00BA57D8"/>
    <w:rsid w:val="00BA6274"/>
    <w:rsid w:val="00BA66B9"/>
    <w:rsid w:val="00BB0237"/>
    <w:rsid w:val="00BB219B"/>
    <w:rsid w:val="00BB36ED"/>
    <w:rsid w:val="00BB68B5"/>
    <w:rsid w:val="00BB78D8"/>
    <w:rsid w:val="00BB7944"/>
    <w:rsid w:val="00BB7C3A"/>
    <w:rsid w:val="00BC034A"/>
    <w:rsid w:val="00BC0514"/>
    <w:rsid w:val="00BC11B5"/>
    <w:rsid w:val="00BC1541"/>
    <w:rsid w:val="00BC16F6"/>
    <w:rsid w:val="00BC1C84"/>
    <w:rsid w:val="00BC208E"/>
    <w:rsid w:val="00BC2301"/>
    <w:rsid w:val="00BC43B9"/>
    <w:rsid w:val="00BC48C0"/>
    <w:rsid w:val="00BC7B1F"/>
    <w:rsid w:val="00BD000B"/>
    <w:rsid w:val="00BD0C58"/>
    <w:rsid w:val="00BD11CB"/>
    <w:rsid w:val="00BD1AB7"/>
    <w:rsid w:val="00BD2955"/>
    <w:rsid w:val="00BD2B75"/>
    <w:rsid w:val="00BD322D"/>
    <w:rsid w:val="00BD3C79"/>
    <w:rsid w:val="00BD3E09"/>
    <w:rsid w:val="00BD4294"/>
    <w:rsid w:val="00BD499C"/>
    <w:rsid w:val="00BD4FE5"/>
    <w:rsid w:val="00BD52CF"/>
    <w:rsid w:val="00BD53E7"/>
    <w:rsid w:val="00BD683F"/>
    <w:rsid w:val="00BD795F"/>
    <w:rsid w:val="00BD7EA7"/>
    <w:rsid w:val="00BE0AFA"/>
    <w:rsid w:val="00BE10C6"/>
    <w:rsid w:val="00BE1F2B"/>
    <w:rsid w:val="00BE2741"/>
    <w:rsid w:val="00BE2C9A"/>
    <w:rsid w:val="00BE2D43"/>
    <w:rsid w:val="00BE39A1"/>
    <w:rsid w:val="00BE49A6"/>
    <w:rsid w:val="00BE4CF0"/>
    <w:rsid w:val="00BE613C"/>
    <w:rsid w:val="00BE7172"/>
    <w:rsid w:val="00BE778B"/>
    <w:rsid w:val="00BF011B"/>
    <w:rsid w:val="00BF1CFC"/>
    <w:rsid w:val="00BF1FE6"/>
    <w:rsid w:val="00BF3434"/>
    <w:rsid w:val="00BF3C44"/>
    <w:rsid w:val="00BF3C8F"/>
    <w:rsid w:val="00BF5596"/>
    <w:rsid w:val="00BF5F21"/>
    <w:rsid w:val="00BF72F5"/>
    <w:rsid w:val="00BF751B"/>
    <w:rsid w:val="00BF7689"/>
    <w:rsid w:val="00C00E8F"/>
    <w:rsid w:val="00C02439"/>
    <w:rsid w:val="00C02647"/>
    <w:rsid w:val="00C02EC9"/>
    <w:rsid w:val="00C041DA"/>
    <w:rsid w:val="00C04662"/>
    <w:rsid w:val="00C04A1A"/>
    <w:rsid w:val="00C05035"/>
    <w:rsid w:val="00C05DF2"/>
    <w:rsid w:val="00C0681A"/>
    <w:rsid w:val="00C103CF"/>
    <w:rsid w:val="00C117E1"/>
    <w:rsid w:val="00C11C58"/>
    <w:rsid w:val="00C12415"/>
    <w:rsid w:val="00C12A81"/>
    <w:rsid w:val="00C12F45"/>
    <w:rsid w:val="00C1428B"/>
    <w:rsid w:val="00C175CC"/>
    <w:rsid w:val="00C17C51"/>
    <w:rsid w:val="00C20E83"/>
    <w:rsid w:val="00C222CE"/>
    <w:rsid w:val="00C23855"/>
    <w:rsid w:val="00C25AA0"/>
    <w:rsid w:val="00C25C4C"/>
    <w:rsid w:val="00C25E5F"/>
    <w:rsid w:val="00C271A7"/>
    <w:rsid w:val="00C27293"/>
    <w:rsid w:val="00C276FA"/>
    <w:rsid w:val="00C27701"/>
    <w:rsid w:val="00C3098D"/>
    <w:rsid w:val="00C30ED7"/>
    <w:rsid w:val="00C32604"/>
    <w:rsid w:val="00C3267D"/>
    <w:rsid w:val="00C32D9E"/>
    <w:rsid w:val="00C33A75"/>
    <w:rsid w:val="00C34847"/>
    <w:rsid w:val="00C350C6"/>
    <w:rsid w:val="00C36521"/>
    <w:rsid w:val="00C37A70"/>
    <w:rsid w:val="00C40007"/>
    <w:rsid w:val="00C407B8"/>
    <w:rsid w:val="00C409EF"/>
    <w:rsid w:val="00C41573"/>
    <w:rsid w:val="00C41B0E"/>
    <w:rsid w:val="00C4203F"/>
    <w:rsid w:val="00C4238B"/>
    <w:rsid w:val="00C42799"/>
    <w:rsid w:val="00C42A04"/>
    <w:rsid w:val="00C4437C"/>
    <w:rsid w:val="00C44EA9"/>
    <w:rsid w:val="00C450D1"/>
    <w:rsid w:val="00C460B3"/>
    <w:rsid w:val="00C465D1"/>
    <w:rsid w:val="00C466B7"/>
    <w:rsid w:val="00C475F4"/>
    <w:rsid w:val="00C509A0"/>
    <w:rsid w:val="00C50B00"/>
    <w:rsid w:val="00C50D5B"/>
    <w:rsid w:val="00C51513"/>
    <w:rsid w:val="00C51753"/>
    <w:rsid w:val="00C52E4A"/>
    <w:rsid w:val="00C53C86"/>
    <w:rsid w:val="00C54E0D"/>
    <w:rsid w:val="00C54F77"/>
    <w:rsid w:val="00C55A12"/>
    <w:rsid w:val="00C55BE1"/>
    <w:rsid w:val="00C560B0"/>
    <w:rsid w:val="00C5655B"/>
    <w:rsid w:val="00C5696F"/>
    <w:rsid w:val="00C57B9B"/>
    <w:rsid w:val="00C60EEF"/>
    <w:rsid w:val="00C62422"/>
    <w:rsid w:val="00C65C4B"/>
    <w:rsid w:val="00C66DAD"/>
    <w:rsid w:val="00C674CD"/>
    <w:rsid w:val="00C7049D"/>
    <w:rsid w:val="00C717FA"/>
    <w:rsid w:val="00C723B0"/>
    <w:rsid w:val="00C72C2C"/>
    <w:rsid w:val="00C73144"/>
    <w:rsid w:val="00C7371D"/>
    <w:rsid w:val="00C73C5C"/>
    <w:rsid w:val="00C80338"/>
    <w:rsid w:val="00C81C0C"/>
    <w:rsid w:val="00C82F20"/>
    <w:rsid w:val="00C83556"/>
    <w:rsid w:val="00C85B40"/>
    <w:rsid w:val="00C9020F"/>
    <w:rsid w:val="00C9039C"/>
    <w:rsid w:val="00C92DF8"/>
    <w:rsid w:val="00C93C71"/>
    <w:rsid w:val="00C94B17"/>
    <w:rsid w:val="00C9624A"/>
    <w:rsid w:val="00C96BC6"/>
    <w:rsid w:val="00C96DD8"/>
    <w:rsid w:val="00C97380"/>
    <w:rsid w:val="00CA0AF8"/>
    <w:rsid w:val="00CA19F0"/>
    <w:rsid w:val="00CA1DCB"/>
    <w:rsid w:val="00CA2D60"/>
    <w:rsid w:val="00CA3BD0"/>
    <w:rsid w:val="00CA58A7"/>
    <w:rsid w:val="00CA5A2D"/>
    <w:rsid w:val="00CA7193"/>
    <w:rsid w:val="00CB141D"/>
    <w:rsid w:val="00CB1435"/>
    <w:rsid w:val="00CB1F11"/>
    <w:rsid w:val="00CB2A43"/>
    <w:rsid w:val="00CB326F"/>
    <w:rsid w:val="00CB3683"/>
    <w:rsid w:val="00CB3ABC"/>
    <w:rsid w:val="00CB75C6"/>
    <w:rsid w:val="00CB7828"/>
    <w:rsid w:val="00CB7CD7"/>
    <w:rsid w:val="00CB7EC5"/>
    <w:rsid w:val="00CC00B5"/>
    <w:rsid w:val="00CC263B"/>
    <w:rsid w:val="00CC2CB7"/>
    <w:rsid w:val="00CC3247"/>
    <w:rsid w:val="00CC38FA"/>
    <w:rsid w:val="00CC5FD2"/>
    <w:rsid w:val="00CC6517"/>
    <w:rsid w:val="00CC6AD0"/>
    <w:rsid w:val="00CC7292"/>
    <w:rsid w:val="00CC7ADF"/>
    <w:rsid w:val="00CD1996"/>
    <w:rsid w:val="00CD2447"/>
    <w:rsid w:val="00CD312A"/>
    <w:rsid w:val="00CD77FD"/>
    <w:rsid w:val="00CD7F61"/>
    <w:rsid w:val="00CE0E7A"/>
    <w:rsid w:val="00CE0EBF"/>
    <w:rsid w:val="00CE1EA8"/>
    <w:rsid w:val="00CE3A00"/>
    <w:rsid w:val="00CE5179"/>
    <w:rsid w:val="00CE64CE"/>
    <w:rsid w:val="00CE6ADD"/>
    <w:rsid w:val="00CE6B07"/>
    <w:rsid w:val="00CE7A4C"/>
    <w:rsid w:val="00CF0345"/>
    <w:rsid w:val="00CF0DCD"/>
    <w:rsid w:val="00CF1215"/>
    <w:rsid w:val="00CF152E"/>
    <w:rsid w:val="00CF1D42"/>
    <w:rsid w:val="00CF461C"/>
    <w:rsid w:val="00CF51D4"/>
    <w:rsid w:val="00CF545E"/>
    <w:rsid w:val="00CF57A3"/>
    <w:rsid w:val="00CF74F5"/>
    <w:rsid w:val="00CF7791"/>
    <w:rsid w:val="00D00726"/>
    <w:rsid w:val="00D019FE"/>
    <w:rsid w:val="00D0296E"/>
    <w:rsid w:val="00D032D9"/>
    <w:rsid w:val="00D042C3"/>
    <w:rsid w:val="00D04995"/>
    <w:rsid w:val="00D04CC5"/>
    <w:rsid w:val="00D056B2"/>
    <w:rsid w:val="00D06704"/>
    <w:rsid w:val="00D072D3"/>
    <w:rsid w:val="00D074C0"/>
    <w:rsid w:val="00D075D9"/>
    <w:rsid w:val="00D115F8"/>
    <w:rsid w:val="00D11AF4"/>
    <w:rsid w:val="00D12127"/>
    <w:rsid w:val="00D131D1"/>
    <w:rsid w:val="00D13B4E"/>
    <w:rsid w:val="00D15480"/>
    <w:rsid w:val="00D16427"/>
    <w:rsid w:val="00D1730D"/>
    <w:rsid w:val="00D2360E"/>
    <w:rsid w:val="00D24036"/>
    <w:rsid w:val="00D24497"/>
    <w:rsid w:val="00D24D7C"/>
    <w:rsid w:val="00D256AF"/>
    <w:rsid w:val="00D25D02"/>
    <w:rsid w:val="00D26BBD"/>
    <w:rsid w:val="00D31147"/>
    <w:rsid w:val="00D316ED"/>
    <w:rsid w:val="00D31AB1"/>
    <w:rsid w:val="00D327DB"/>
    <w:rsid w:val="00D32817"/>
    <w:rsid w:val="00D32DAC"/>
    <w:rsid w:val="00D33221"/>
    <w:rsid w:val="00D349EC"/>
    <w:rsid w:val="00D357C4"/>
    <w:rsid w:val="00D40261"/>
    <w:rsid w:val="00D41AB7"/>
    <w:rsid w:val="00D43CBA"/>
    <w:rsid w:val="00D44348"/>
    <w:rsid w:val="00D443A3"/>
    <w:rsid w:val="00D44598"/>
    <w:rsid w:val="00D46064"/>
    <w:rsid w:val="00D467FF"/>
    <w:rsid w:val="00D50334"/>
    <w:rsid w:val="00D506B3"/>
    <w:rsid w:val="00D5100B"/>
    <w:rsid w:val="00D518B2"/>
    <w:rsid w:val="00D51FCA"/>
    <w:rsid w:val="00D528C0"/>
    <w:rsid w:val="00D53B5C"/>
    <w:rsid w:val="00D55755"/>
    <w:rsid w:val="00D56169"/>
    <w:rsid w:val="00D563A9"/>
    <w:rsid w:val="00D5655C"/>
    <w:rsid w:val="00D60B84"/>
    <w:rsid w:val="00D622D0"/>
    <w:rsid w:val="00D623BC"/>
    <w:rsid w:val="00D6260E"/>
    <w:rsid w:val="00D63481"/>
    <w:rsid w:val="00D64C67"/>
    <w:rsid w:val="00D64FFB"/>
    <w:rsid w:val="00D658F2"/>
    <w:rsid w:val="00D665D7"/>
    <w:rsid w:val="00D710B8"/>
    <w:rsid w:val="00D712E9"/>
    <w:rsid w:val="00D72327"/>
    <w:rsid w:val="00D72B03"/>
    <w:rsid w:val="00D73CF1"/>
    <w:rsid w:val="00D7423A"/>
    <w:rsid w:val="00D74275"/>
    <w:rsid w:val="00D76073"/>
    <w:rsid w:val="00D8277B"/>
    <w:rsid w:val="00D82B2C"/>
    <w:rsid w:val="00D84884"/>
    <w:rsid w:val="00D859E3"/>
    <w:rsid w:val="00D87293"/>
    <w:rsid w:val="00D9035D"/>
    <w:rsid w:val="00D9079F"/>
    <w:rsid w:val="00D90A2B"/>
    <w:rsid w:val="00D913B0"/>
    <w:rsid w:val="00D91586"/>
    <w:rsid w:val="00D91591"/>
    <w:rsid w:val="00D94036"/>
    <w:rsid w:val="00D94145"/>
    <w:rsid w:val="00D95A92"/>
    <w:rsid w:val="00D96147"/>
    <w:rsid w:val="00D97359"/>
    <w:rsid w:val="00D97509"/>
    <w:rsid w:val="00D97FA7"/>
    <w:rsid w:val="00DA0B91"/>
    <w:rsid w:val="00DA0FE7"/>
    <w:rsid w:val="00DA16BC"/>
    <w:rsid w:val="00DA1AD3"/>
    <w:rsid w:val="00DA1ED0"/>
    <w:rsid w:val="00DA20F4"/>
    <w:rsid w:val="00DA22F2"/>
    <w:rsid w:val="00DA2AC9"/>
    <w:rsid w:val="00DA347E"/>
    <w:rsid w:val="00DA54C5"/>
    <w:rsid w:val="00DA7237"/>
    <w:rsid w:val="00DB1554"/>
    <w:rsid w:val="00DB1CEA"/>
    <w:rsid w:val="00DB1D18"/>
    <w:rsid w:val="00DB2AE3"/>
    <w:rsid w:val="00DB3005"/>
    <w:rsid w:val="00DB4D4C"/>
    <w:rsid w:val="00DB4D5D"/>
    <w:rsid w:val="00DB50E1"/>
    <w:rsid w:val="00DB521B"/>
    <w:rsid w:val="00DB5700"/>
    <w:rsid w:val="00DB6308"/>
    <w:rsid w:val="00DB6598"/>
    <w:rsid w:val="00DB6650"/>
    <w:rsid w:val="00DB6C9E"/>
    <w:rsid w:val="00DC003F"/>
    <w:rsid w:val="00DC04F5"/>
    <w:rsid w:val="00DC09B5"/>
    <w:rsid w:val="00DC292B"/>
    <w:rsid w:val="00DC2FED"/>
    <w:rsid w:val="00DC3092"/>
    <w:rsid w:val="00DC334C"/>
    <w:rsid w:val="00DC382E"/>
    <w:rsid w:val="00DC3BDD"/>
    <w:rsid w:val="00DC40C8"/>
    <w:rsid w:val="00DC47B9"/>
    <w:rsid w:val="00DC4C92"/>
    <w:rsid w:val="00DC64A5"/>
    <w:rsid w:val="00DD07EB"/>
    <w:rsid w:val="00DD14D3"/>
    <w:rsid w:val="00DD29F8"/>
    <w:rsid w:val="00DD36DF"/>
    <w:rsid w:val="00DD3BB8"/>
    <w:rsid w:val="00DD3CC2"/>
    <w:rsid w:val="00DD6C05"/>
    <w:rsid w:val="00DE0182"/>
    <w:rsid w:val="00DE0B7C"/>
    <w:rsid w:val="00DE107E"/>
    <w:rsid w:val="00DE2814"/>
    <w:rsid w:val="00DE38D9"/>
    <w:rsid w:val="00DE4247"/>
    <w:rsid w:val="00DE7357"/>
    <w:rsid w:val="00DE74A4"/>
    <w:rsid w:val="00DF077F"/>
    <w:rsid w:val="00DF1375"/>
    <w:rsid w:val="00DF1C46"/>
    <w:rsid w:val="00DF2E5C"/>
    <w:rsid w:val="00DF2F47"/>
    <w:rsid w:val="00DF3538"/>
    <w:rsid w:val="00DF397C"/>
    <w:rsid w:val="00DF5A47"/>
    <w:rsid w:val="00DF6C7A"/>
    <w:rsid w:val="00DF7832"/>
    <w:rsid w:val="00E00A5F"/>
    <w:rsid w:val="00E010BD"/>
    <w:rsid w:val="00E03EC8"/>
    <w:rsid w:val="00E0440D"/>
    <w:rsid w:val="00E04E4C"/>
    <w:rsid w:val="00E05703"/>
    <w:rsid w:val="00E05A34"/>
    <w:rsid w:val="00E07464"/>
    <w:rsid w:val="00E101E2"/>
    <w:rsid w:val="00E107DD"/>
    <w:rsid w:val="00E1139E"/>
    <w:rsid w:val="00E12FDE"/>
    <w:rsid w:val="00E13FC3"/>
    <w:rsid w:val="00E14BDB"/>
    <w:rsid w:val="00E200B8"/>
    <w:rsid w:val="00E20BBA"/>
    <w:rsid w:val="00E210AE"/>
    <w:rsid w:val="00E217FA"/>
    <w:rsid w:val="00E2343C"/>
    <w:rsid w:val="00E2343E"/>
    <w:rsid w:val="00E25BF8"/>
    <w:rsid w:val="00E263B6"/>
    <w:rsid w:val="00E3116F"/>
    <w:rsid w:val="00E31BB7"/>
    <w:rsid w:val="00E3272D"/>
    <w:rsid w:val="00E32E30"/>
    <w:rsid w:val="00E350A2"/>
    <w:rsid w:val="00E353E1"/>
    <w:rsid w:val="00E37E86"/>
    <w:rsid w:val="00E40768"/>
    <w:rsid w:val="00E418B6"/>
    <w:rsid w:val="00E46136"/>
    <w:rsid w:val="00E46C3D"/>
    <w:rsid w:val="00E47B41"/>
    <w:rsid w:val="00E50893"/>
    <w:rsid w:val="00E51A06"/>
    <w:rsid w:val="00E51D44"/>
    <w:rsid w:val="00E52572"/>
    <w:rsid w:val="00E53F67"/>
    <w:rsid w:val="00E54896"/>
    <w:rsid w:val="00E558B4"/>
    <w:rsid w:val="00E55BCC"/>
    <w:rsid w:val="00E56552"/>
    <w:rsid w:val="00E61C7F"/>
    <w:rsid w:val="00E62672"/>
    <w:rsid w:val="00E639B4"/>
    <w:rsid w:val="00E63B4B"/>
    <w:rsid w:val="00E64233"/>
    <w:rsid w:val="00E655CE"/>
    <w:rsid w:val="00E65B82"/>
    <w:rsid w:val="00E673E9"/>
    <w:rsid w:val="00E67B5F"/>
    <w:rsid w:val="00E70D3E"/>
    <w:rsid w:val="00E71F7A"/>
    <w:rsid w:val="00E742E0"/>
    <w:rsid w:val="00E74823"/>
    <w:rsid w:val="00E7498E"/>
    <w:rsid w:val="00E755CE"/>
    <w:rsid w:val="00E7618A"/>
    <w:rsid w:val="00E76659"/>
    <w:rsid w:val="00E76CA0"/>
    <w:rsid w:val="00E77097"/>
    <w:rsid w:val="00E77F03"/>
    <w:rsid w:val="00E82C6E"/>
    <w:rsid w:val="00E83078"/>
    <w:rsid w:val="00E830A9"/>
    <w:rsid w:val="00E835B4"/>
    <w:rsid w:val="00E85AAA"/>
    <w:rsid w:val="00E86399"/>
    <w:rsid w:val="00E864D2"/>
    <w:rsid w:val="00E90075"/>
    <w:rsid w:val="00E9028F"/>
    <w:rsid w:val="00E90381"/>
    <w:rsid w:val="00E907AE"/>
    <w:rsid w:val="00E91EC4"/>
    <w:rsid w:val="00E92591"/>
    <w:rsid w:val="00E92AE2"/>
    <w:rsid w:val="00E936F2"/>
    <w:rsid w:val="00E94957"/>
    <w:rsid w:val="00E94C2B"/>
    <w:rsid w:val="00E95D83"/>
    <w:rsid w:val="00E97818"/>
    <w:rsid w:val="00EA0012"/>
    <w:rsid w:val="00EA29BF"/>
    <w:rsid w:val="00EA33BB"/>
    <w:rsid w:val="00EA4358"/>
    <w:rsid w:val="00EA5C5F"/>
    <w:rsid w:val="00EB0AA0"/>
    <w:rsid w:val="00EB28A8"/>
    <w:rsid w:val="00EB2B42"/>
    <w:rsid w:val="00EB3A29"/>
    <w:rsid w:val="00EB3A58"/>
    <w:rsid w:val="00EB4D4C"/>
    <w:rsid w:val="00EB7825"/>
    <w:rsid w:val="00EC2F63"/>
    <w:rsid w:val="00EC30E7"/>
    <w:rsid w:val="00EC3491"/>
    <w:rsid w:val="00EC39D7"/>
    <w:rsid w:val="00EC6793"/>
    <w:rsid w:val="00EC6D07"/>
    <w:rsid w:val="00EC7671"/>
    <w:rsid w:val="00ED023F"/>
    <w:rsid w:val="00ED0A11"/>
    <w:rsid w:val="00ED23CC"/>
    <w:rsid w:val="00ED2653"/>
    <w:rsid w:val="00ED2F28"/>
    <w:rsid w:val="00EE0C5F"/>
    <w:rsid w:val="00EE1CD1"/>
    <w:rsid w:val="00EE22B5"/>
    <w:rsid w:val="00EE2B45"/>
    <w:rsid w:val="00EE30CF"/>
    <w:rsid w:val="00EE3DE2"/>
    <w:rsid w:val="00EE4F46"/>
    <w:rsid w:val="00EE6DB0"/>
    <w:rsid w:val="00EE7063"/>
    <w:rsid w:val="00EE74FA"/>
    <w:rsid w:val="00EF169D"/>
    <w:rsid w:val="00EF3062"/>
    <w:rsid w:val="00EF5A3C"/>
    <w:rsid w:val="00EF6139"/>
    <w:rsid w:val="00EF62A1"/>
    <w:rsid w:val="00EF6467"/>
    <w:rsid w:val="00EF661C"/>
    <w:rsid w:val="00EF6CC3"/>
    <w:rsid w:val="00EF784A"/>
    <w:rsid w:val="00F0020E"/>
    <w:rsid w:val="00F02099"/>
    <w:rsid w:val="00F02127"/>
    <w:rsid w:val="00F02508"/>
    <w:rsid w:val="00F025E7"/>
    <w:rsid w:val="00F03134"/>
    <w:rsid w:val="00F059EF"/>
    <w:rsid w:val="00F06A3E"/>
    <w:rsid w:val="00F06BBE"/>
    <w:rsid w:val="00F06D89"/>
    <w:rsid w:val="00F07E81"/>
    <w:rsid w:val="00F11088"/>
    <w:rsid w:val="00F11DB8"/>
    <w:rsid w:val="00F12045"/>
    <w:rsid w:val="00F121D8"/>
    <w:rsid w:val="00F1304B"/>
    <w:rsid w:val="00F133F4"/>
    <w:rsid w:val="00F20DDD"/>
    <w:rsid w:val="00F22078"/>
    <w:rsid w:val="00F22740"/>
    <w:rsid w:val="00F22846"/>
    <w:rsid w:val="00F24335"/>
    <w:rsid w:val="00F24ADC"/>
    <w:rsid w:val="00F26D26"/>
    <w:rsid w:val="00F31D6D"/>
    <w:rsid w:val="00F330DC"/>
    <w:rsid w:val="00F33687"/>
    <w:rsid w:val="00F3465F"/>
    <w:rsid w:val="00F35487"/>
    <w:rsid w:val="00F370BA"/>
    <w:rsid w:val="00F37739"/>
    <w:rsid w:val="00F41C4D"/>
    <w:rsid w:val="00F41FA2"/>
    <w:rsid w:val="00F429AE"/>
    <w:rsid w:val="00F42D58"/>
    <w:rsid w:val="00F43A7D"/>
    <w:rsid w:val="00F43D77"/>
    <w:rsid w:val="00F4499C"/>
    <w:rsid w:val="00F44B46"/>
    <w:rsid w:val="00F44DE6"/>
    <w:rsid w:val="00F45ED5"/>
    <w:rsid w:val="00F4695F"/>
    <w:rsid w:val="00F47879"/>
    <w:rsid w:val="00F50FA4"/>
    <w:rsid w:val="00F5286B"/>
    <w:rsid w:val="00F52F04"/>
    <w:rsid w:val="00F533A1"/>
    <w:rsid w:val="00F564DE"/>
    <w:rsid w:val="00F6077E"/>
    <w:rsid w:val="00F61D2D"/>
    <w:rsid w:val="00F62109"/>
    <w:rsid w:val="00F63894"/>
    <w:rsid w:val="00F64008"/>
    <w:rsid w:val="00F64AEA"/>
    <w:rsid w:val="00F64F89"/>
    <w:rsid w:val="00F65F3F"/>
    <w:rsid w:val="00F67276"/>
    <w:rsid w:val="00F70907"/>
    <w:rsid w:val="00F70DAD"/>
    <w:rsid w:val="00F710AE"/>
    <w:rsid w:val="00F72B0F"/>
    <w:rsid w:val="00F741D1"/>
    <w:rsid w:val="00F744BA"/>
    <w:rsid w:val="00F752C2"/>
    <w:rsid w:val="00F763B8"/>
    <w:rsid w:val="00F7687B"/>
    <w:rsid w:val="00F77A78"/>
    <w:rsid w:val="00F801B5"/>
    <w:rsid w:val="00F8222E"/>
    <w:rsid w:val="00F82AE9"/>
    <w:rsid w:val="00F82B88"/>
    <w:rsid w:val="00F85DA9"/>
    <w:rsid w:val="00F86040"/>
    <w:rsid w:val="00F86E05"/>
    <w:rsid w:val="00F90325"/>
    <w:rsid w:val="00F93701"/>
    <w:rsid w:val="00F95160"/>
    <w:rsid w:val="00F97BBC"/>
    <w:rsid w:val="00FA0371"/>
    <w:rsid w:val="00FA06EA"/>
    <w:rsid w:val="00FA16D9"/>
    <w:rsid w:val="00FA1935"/>
    <w:rsid w:val="00FA1A8D"/>
    <w:rsid w:val="00FA1F98"/>
    <w:rsid w:val="00FA2956"/>
    <w:rsid w:val="00FA390E"/>
    <w:rsid w:val="00FA3D27"/>
    <w:rsid w:val="00FB0752"/>
    <w:rsid w:val="00FB1617"/>
    <w:rsid w:val="00FB1FE3"/>
    <w:rsid w:val="00FB388C"/>
    <w:rsid w:val="00FB4ADB"/>
    <w:rsid w:val="00FB4FDA"/>
    <w:rsid w:val="00FB7864"/>
    <w:rsid w:val="00FB78B0"/>
    <w:rsid w:val="00FC017D"/>
    <w:rsid w:val="00FC03A5"/>
    <w:rsid w:val="00FC10EC"/>
    <w:rsid w:val="00FC11A1"/>
    <w:rsid w:val="00FC2161"/>
    <w:rsid w:val="00FC2362"/>
    <w:rsid w:val="00FC314A"/>
    <w:rsid w:val="00FC5BF2"/>
    <w:rsid w:val="00FC5C81"/>
    <w:rsid w:val="00FC5F13"/>
    <w:rsid w:val="00FC6435"/>
    <w:rsid w:val="00FC6F78"/>
    <w:rsid w:val="00FC721C"/>
    <w:rsid w:val="00FD0077"/>
    <w:rsid w:val="00FD19BD"/>
    <w:rsid w:val="00FD1D3A"/>
    <w:rsid w:val="00FD4A14"/>
    <w:rsid w:val="00FD4EC8"/>
    <w:rsid w:val="00FD524D"/>
    <w:rsid w:val="00FD53A3"/>
    <w:rsid w:val="00FD5867"/>
    <w:rsid w:val="00FD5F64"/>
    <w:rsid w:val="00FD7B45"/>
    <w:rsid w:val="00FE10F0"/>
    <w:rsid w:val="00FE2B2D"/>
    <w:rsid w:val="00FE4A12"/>
    <w:rsid w:val="00FE4C50"/>
    <w:rsid w:val="00FE5223"/>
    <w:rsid w:val="00FE7FD8"/>
    <w:rsid w:val="00FF039A"/>
    <w:rsid w:val="00FF0AD6"/>
    <w:rsid w:val="00FF15E7"/>
    <w:rsid w:val="00FF1B74"/>
    <w:rsid w:val="00FF6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F21F6F8"/>
  <w15:docId w15:val="{9640E848-813D-4F04-9D8F-4342C8CD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414042" w:themeColor="text1"/>
        <w:sz w:val="22"/>
        <w:szCs w:val="22"/>
        <w:lang w:val="en-AU" w:eastAsia="en-AU" w:bidi="ar-SA"/>
      </w:rPr>
    </w:rPrDefault>
    <w:pPrDefault>
      <w:pPr>
        <w:spacing w:before="100" w:after="1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0"/>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2AB"/>
  </w:style>
  <w:style w:type="paragraph" w:styleId="Heading1">
    <w:name w:val="heading 1"/>
    <w:basedOn w:val="Normal"/>
    <w:next w:val="Normal"/>
    <w:link w:val="Heading1Char"/>
    <w:uiPriority w:val="9"/>
    <w:qFormat/>
    <w:rsid w:val="00C73144"/>
    <w:pPr>
      <w:keepNext/>
      <w:keepLines/>
      <w:spacing w:before="480" w:after="240" w:line="500" w:lineRule="exact"/>
      <w:ind w:right="1984"/>
      <w:contextualSpacing/>
      <w:outlineLvl w:val="0"/>
    </w:pPr>
    <w:rPr>
      <w:rFonts w:asciiTheme="majorHAnsi" w:eastAsiaTheme="majorEastAsia" w:hAnsiTheme="majorHAnsi" w:cs="Times New Roman"/>
      <w:b/>
      <w:bCs/>
      <w:iCs/>
      <w:caps/>
      <w:color w:val="1C3867" w:themeColor="text2"/>
      <w:sz w:val="48"/>
      <w:szCs w:val="48"/>
      <w:lang w:val="en-US" w:bidi="en-US"/>
    </w:rPr>
  </w:style>
  <w:style w:type="paragraph" w:styleId="Heading2">
    <w:name w:val="heading 2"/>
    <w:next w:val="Normal"/>
    <w:link w:val="Heading2Char"/>
    <w:unhideWhenUsed/>
    <w:qFormat/>
    <w:rsid w:val="00BB7C3A"/>
    <w:pPr>
      <w:keepNext/>
      <w:keepLines/>
      <w:spacing w:before="240"/>
      <w:outlineLvl w:val="1"/>
    </w:pPr>
    <w:rPr>
      <w:rFonts w:asciiTheme="majorHAnsi" w:eastAsia="Times New Roman" w:hAnsiTheme="majorHAnsi" w:cs="Times New Roman"/>
      <w:b/>
      <w:bCs/>
      <w:iCs/>
      <w:color w:val="000000"/>
      <w:sz w:val="28"/>
      <w:lang w:val="en-US" w:bidi="en-US"/>
    </w:rPr>
  </w:style>
  <w:style w:type="paragraph" w:styleId="Heading3">
    <w:name w:val="heading 3"/>
    <w:basedOn w:val="Normal"/>
    <w:next w:val="Normal"/>
    <w:link w:val="Heading3Char"/>
    <w:qFormat/>
    <w:rsid w:val="00BB7C3A"/>
    <w:pPr>
      <w:keepNext/>
      <w:keepLines/>
      <w:spacing w:before="200" w:line="240" w:lineRule="auto"/>
      <w:contextualSpacing/>
      <w:outlineLvl w:val="2"/>
    </w:pPr>
    <w:rPr>
      <w:rFonts w:asciiTheme="majorHAnsi" w:eastAsia="Times New Roman" w:hAnsiTheme="majorHAnsi" w:cs="Times New Roman"/>
      <w:b/>
      <w:bCs/>
      <w:iCs/>
      <w:caps/>
      <w:color w:val="1C3867" w:themeColor="text2"/>
      <w:lang w:val="en-US" w:bidi="en-US"/>
    </w:rPr>
  </w:style>
  <w:style w:type="paragraph" w:styleId="Heading4">
    <w:name w:val="heading 4"/>
    <w:basedOn w:val="Normal"/>
    <w:next w:val="Normal"/>
    <w:link w:val="Heading4Char"/>
    <w:unhideWhenUsed/>
    <w:qFormat/>
    <w:rsid w:val="001C5785"/>
    <w:pPr>
      <w:keepNext/>
      <w:keepLines/>
      <w:spacing w:before="200" w:after="240"/>
      <w:outlineLvl w:val="3"/>
    </w:pPr>
    <w:rPr>
      <w:rFonts w:asciiTheme="majorHAnsi" w:eastAsiaTheme="majorEastAsia" w:hAnsiTheme="majorHAnsi" w:cstheme="majorBidi"/>
      <w:b/>
      <w:bCs/>
      <w:i/>
      <w:iCs/>
      <w:lang w:val="en-US"/>
    </w:rPr>
  </w:style>
  <w:style w:type="paragraph" w:styleId="Heading5">
    <w:name w:val="heading 5"/>
    <w:basedOn w:val="Normal"/>
    <w:next w:val="Normal"/>
    <w:link w:val="Heading5Char"/>
    <w:uiPriority w:val="9"/>
    <w:unhideWhenUsed/>
    <w:qFormat/>
    <w:rsid w:val="0096478F"/>
    <w:pPr>
      <w:keepNext/>
      <w:numPr>
        <w:ilvl w:val="1"/>
        <w:numId w:val="1"/>
      </w:numPr>
      <w:spacing w:before="240"/>
      <w:ind w:left="578" w:hanging="578"/>
      <w:outlineLvl w:val="4"/>
    </w:pPr>
    <w:rPr>
      <w:rFonts w:asciiTheme="majorHAnsi" w:eastAsiaTheme="majorEastAsia" w:hAnsiTheme="majorHAnsi" w:cstheme="majorBidi"/>
      <w:b/>
      <w:bCs/>
      <w:caps/>
      <w:color w:val="1C3867" w:themeColor="text2"/>
      <w:szCs w:val="26"/>
    </w:rPr>
  </w:style>
  <w:style w:type="paragraph" w:styleId="Heading6">
    <w:name w:val="heading 6"/>
    <w:basedOn w:val="Normal"/>
    <w:next w:val="Normal"/>
    <w:link w:val="Heading6Char"/>
    <w:uiPriority w:val="9"/>
    <w:unhideWhenUsed/>
    <w:qFormat/>
    <w:rsid w:val="0096478F"/>
    <w:pPr>
      <w:keepNext/>
      <w:numPr>
        <w:ilvl w:val="2"/>
        <w:numId w:val="1"/>
      </w:numPr>
      <w:spacing w:before="240"/>
      <w:outlineLvl w:val="5"/>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144"/>
    <w:rPr>
      <w:rFonts w:asciiTheme="majorHAnsi" w:eastAsiaTheme="majorEastAsia" w:hAnsiTheme="majorHAnsi" w:cs="Times New Roman"/>
      <w:b/>
      <w:bCs/>
      <w:iCs/>
      <w:caps/>
      <w:color w:val="1C3867" w:themeColor="text2"/>
      <w:sz w:val="48"/>
      <w:szCs w:val="48"/>
      <w:lang w:val="en-US" w:bidi="en-US"/>
    </w:rPr>
  </w:style>
  <w:style w:type="character" w:customStyle="1" w:styleId="Heading2Char">
    <w:name w:val="Heading 2 Char"/>
    <w:basedOn w:val="DefaultParagraphFont"/>
    <w:link w:val="Heading2"/>
    <w:rsid w:val="00BB7C3A"/>
    <w:rPr>
      <w:rFonts w:asciiTheme="majorHAnsi" w:eastAsia="Times New Roman" w:hAnsiTheme="majorHAnsi" w:cs="Times New Roman"/>
      <w:b/>
      <w:bCs/>
      <w:iCs/>
      <w:color w:val="000000"/>
      <w:sz w:val="28"/>
      <w:lang w:val="en-US" w:bidi="en-US"/>
    </w:rPr>
  </w:style>
  <w:style w:type="character" w:customStyle="1" w:styleId="Heading3Char">
    <w:name w:val="Heading 3 Char"/>
    <w:basedOn w:val="DefaultParagraphFont"/>
    <w:link w:val="Heading3"/>
    <w:rsid w:val="00BB7C3A"/>
    <w:rPr>
      <w:rFonts w:asciiTheme="majorHAnsi" w:eastAsia="Times New Roman" w:hAnsiTheme="majorHAnsi" w:cs="Times New Roman"/>
      <w:b/>
      <w:bCs/>
      <w:iCs/>
      <w:caps/>
      <w:color w:val="1C3867" w:themeColor="text2"/>
      <w:lang w:val="en-US" w:bidi="en-US"/>
    </w:rPr>
  </w:style>
  <w:style w:type="character" w:customStyle="1" w:styleId="Heading4Char">
    <w:name w:val="Heading 4 Char"/>
    <w:basedOn w:val="DefaultParagraphFont"/>
    <w:link w:val="Heading4"/>
    <w:rsid w:val="001C5785"/>
    <w:rPr>
      <w:rFonts w:asciiTheme="majorHAnsi" w:eastAsiaTheme="majorEastAsia" w:hAnsiTheme="majorHAnsi" w:cstheme="majorBidi"/>
      <w:b/>
      <w:bCs/>
      <w:i/>
      <w:iCs/>
      <w:lang w:val="en-US"/>
    </w:rPr>
  </w:style>
  <w:style w:type="paragraph" w:styleId="ListParagraph">
    <w:name w:val="List Paragraph"/>
    <w:basedOn w:val="Normal"/>
    <w:uiPriority w:val="34"/>
    <w:qFormat/>
    <w:rsid w:val="00481A71"/>
    <w:pPr>
      <w:spacing w:line="288" w:lineRule="auto"/>
      <w:ind w:left="720"/>
      <w:contextualSpacing/>
    </w:pPr>
    <w:rPr>
      <w:rFonts w:ascii="Calibri" w:eastAsia="Times New Roman" w:hAnsi="Calibri" w:cs="Times New Roman"/>
      <w:i/>
      <w:iCs/>
      <w:szCs w:val="20"/>
      <w:lang w:bidi="en-US"/>
    </w:rPr>
  </w:style>
  <w:style w:type="character" w:styleId="SubtleReference">
    <w:name w:val="Subtle Reference"/>
    <w:rsid w:val="00481A71"/>
    <w:rPr>
      <w:i/>
      <w:iCs/>
      <w:smallCaps/>
      <w:color w:val="C0504D"/>
      <w:u w:color="C0504D"/>
    </w:rPr>
  </w:style>
  <w:style w:type="paragraph" w:styleId="Header">
    <w:name w:val="header"/>
    <w:basedOn w:val="Normal"/>
    <w:link w:val="HeaderChar"/>
    <w:rsid w:val="00076007"/>
    <w:pPr>
      <w:tabs>
        <w:tab w:val="center" w:pos="4513"/>
        <w:tab w:val="right" w:pos="9026"/>
      </w:tabs>
      <w:spacing w:before="0" w:after="0" w:line="288" w:lineRule="auto"/>
      <w:ind w:right="-873"/>
      <w:jc w:val="right"/>
    </w:pPr>
    <w:rPr>
      <w:rFonts w:ascii="Calibri" w:eastAsia="Times New Roman" w:hAnsi="Calibri" w:cs="Times New Roman"/>
      <w:iCs/>
      <w:szCs w:val="20"/>
      <w:lang w:bidi="en-US"/>
    </w:rPr>
  </w:style>
  <w:style w:type="character" w:customStyle="1" w:styleId="HeaderChar">
    <w:name w:val="Header Char"/>
    <w:basedOn w:val="DefaultParagraphFont"/>
    <w:link w:val="Header"/>
    <w:rsid w:val="00076007"/>
    <w:rPr>
      <w:rFonts w:ascii="Calibri" w:eastAsia="Times New Roman" w:hAnsi="Calibri" w:cs="Times New Roman"/>
      <w:iCs/>
      <w:szCs w:val="20"/>
      <w:lang w:bidi="en-US"/>
    </w:rPr>
  </w:style>
  <w:style w:type="paragraph" w:styleId="Footer">
    <w:name w:val="footer"/>
    <w:basedOn w:val="Normal"/>
    <w:link w:val="FooterChar"/>
    <w:uiPriority w:val="99"/>
    <w:rsid w:val="00B108C5"/>
    <w:pPr>
      <w:spacing w:before="0" w:after="0" w:line="240" w:lineRule="auto"/>
    </w:pPr>
    <w:rPr>
      <w:rFonts w:ascii="Calibri Light" w:hAnsi="Calibri Light"/>
      <w:sz w:val="20"/>
    </w:rPr>
  </w:style>
  <w:style w:type="character" w:customStyle="1" w:styleId="FooterChar">
    <w:name w:val="Footer Char"/>
    <w:basedOn w:val="DefaultParagraphFont"/>
    <w:link w:val="Footer"/>
    <w:uiPriority w:val="99"/>
    <w:rsid w:val="00B108C5"/>
    <w:rPr>
      <w:rFonts w:ascii="Calibri Light" w:hAnsi="Calibri Light"/>
      <w:sz w:val="20"/>
    </w:rPr>
  </w:style>
  <w:style w:type="table" w:customStyle="1" w:styleId="LightList-Accent11">
    <w:name w:val="Light List - Accent 11"/>
    <w:basedOn w:val="TableNormal"/>
    <w:rsid w:val="00481A7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customStyle="1" w:styleId="TableText">
    <w:name w:val="Table Text"/>
    <w:basedOn w:val="Normal"/>
    <w:rsid w:val="00481A71"/>
    <w:pPr>
      <w:spacing w:after="0" w:line="240" w:lineRule="auto"/>
    </w:pPr>
    <w:rPr>
      <w:rFonts w:ascii="Arial" w:hAnsi="Arial"/>
      <w:i/>
      <w:iCs/>
      <w:lang w:val="en-US"/>
    </w:rPr>
  </w:style>
  <w:style w:type="paragraph" w:customStyle="1" w:styleId="TableHeading">
    <w:name w:val="Table Heading"/>
    <w:basedOn w:val="Normal"/>
    <w:rsid w:val="00481A71"/>
    <w:pPr>
      <w:spacing w:before="60" w:after="60" w:line="240" w:lineRule="auto"/>
    </w:pPr>
    <w:rPr>
      <w:rFonts w:ascii="Arial Narrow" w:hAnsi="Arial Narrow"/>
      <w:b/>
      <w:i/>
      <w:iCs/>
      <w:lang w:val="en-US"/>
    </w:rPr>
  </w:style>
  <w:style w:type="character" w:styleId="Strong">
    <w:name w:val="Strong"/>
    <w:qFormat/>
    <w:rsid w:val="00481A71"/>
    <w:rPr>
      <w:b/>
      <w:bCs/>
      <w:spacing w:val="0"/>
    </w:rPr>
  </w:style>
  <w:style w:type="paragraph" w:styleId="Quote">
    <w:name w:val="Quote"/>
    <w:basedOn w:val="Normal"/>
    <w:next w:val="Normal"/>
    <w:link w:val="QuoteChar"/>
    <w:rsid w:val="00481A71"/>
    <w:pPr>
      <w:spacing w:before="120" w:after="120" w:line="288" w:lineRule="auto"/>
    </w:pPr>
    <w:rPr>
      <w:rFonts w:ascii="Calibri" w:eastAsia="Times New Roman" w:hAnsi="Calibri" w:cs="Times New Roman"/>
      <w:b/>
      <w:color w:val="948A54"/>
      <w:szCs w:val="20"/>
      <w:lang w:bidi="en-US"/>
    </w:rPr>
  </w:style>
  <w:style w:type="character" w:customStyle="1" w:styleId="QuoteChar">
    <w:name w:val="Quote Char"/>
    <w:basedOn w:val="DefaultParagraphFont"/>
    <w:link w:val="Quote"/>
    <w:rsid w:val="00481A71"/>
    <w:rPr>
      <w:rFonts w:ascii="Calibri" w:eastAsia="Times New Roman" w:hAnsi="Calibri" w:cs="Times New Roman"/>
      <w:b/>
      <w:color w:val="948A54"/>
      <w:szCs w:val="20"/>
      <w:lang w:bidi="en-US"/>
    </w:rPr>
  </w:style>
  <w:style w:type="paragraph" w:customStyle="1" w:styleId="SOACoverPage">
    <w:name w:val="SOA Cover Page"/>
    <w:basedOn w:val="Normal"/>
    <w:rsid w:val="00481A71"/>
    <w:pPr>
      <w:spacing w:after="0" w:line="312" w:lineRule="auto"/>
      <w:jc w:val="center"/>
    </w:pPr>
    <w:rPr>
      <w:rFonts w:ascii="Century Gothic" w:eastAsia="Times New Roman" w:hAnsi="Century Gothic" w:cs="Times New Roman"/>
      <w:sz w:val="20"/>
      <w:szCs w:val="20"/>
    </w:rPr>
  </w:style>
  <w:style w:type="paragraph" w:customStyle="1" w:styleId="NoteText">
    <w:name w:val="Note Text"/>
    <w:basedOn w:val="Normal"/>
    <w:rsid w:val="00481A71"/>
    <w:pPr>
      <w:spacing w:after="240" w:line="240" w:lineRule="auto"/>
    </w:pPr>
    <w:rPr>
      <w:rFonts w:ascii="Arial" w:eastAsia="Calibri" w:hAnsi="Arial" w:cs="Times New Roman"/>
      <w:iCs/>
      <w:sz w:val="20"/>
    </w:rPr>
  </w:style>
  <w:style w:type="character" w:customStyle="1" w:styleId="Heading5Char">
    <w:name w:val="Heading 5 Char"/>
    <w:basedOn w:val="DefaultParagraphFont"/>
    <w:link w:val="Heading5"/>
    <w:uiPriority w:val="9"/>
    <w:rsid w:val="0096478F"/>
    <w:rPr>
      <w:rFonts w:asciiTheme="majorHAnsi" w:eastAsiaTheme="majorEastAsia" w:hAnsiTheme="majorHAnsi" w:cstheme="majorBidi"/>
      <w:b/>
      <w:bCs/>
      <w:caps/>
      <w:color w:val="1C3867" w:themeColor="text2"/>
      <w:szCs w:val="26"/>
    </w:rPr>
  </w:style>
  <w:style w:type="character" w:customStyle="1" w:styleId="Heading6Char">
    <w:name w:val="Heading 6 Char"/>
    <w:basedOn w:val="DefaultParagraphFont"/>
    <w:link w:val="Heading6"/>
    <w:uiPriority w:val="9"/>
    <w:rsid w:val="0096478F"/>
    <w:rPr>
      <w:rFonts w:asciiTheme="majorHAnsi" w:eastAsiaTheme="majorEastAsia" w:hAnsiTheme="majorHAnsi" w:cstheme="majorBidi"/>
      <w:b/>
      <w:bCs/>
    </w:rPr>
  </w:style>
  <w:style w:type="paragraph" w:styleId="ListBullet">
    <w:name w:val="List Bullet"/>
    <w:basedOn w:val="Normal"/>
    <w:uiPriority w:val="99"/>
    <w:unhideWhenUsed/>
    <w:qFormat/>
    <w:rsid w:val="00D04995"/>
    <w:pPr>
      <w:numPr>
        <w:numId w:val="2"/>
      </w:numPr>
    </w:pPr>
  </w:style>
  <w:style w:type="character" w:styleId="Emphasis">
    <w:name w:val="Emphasis"/>
    <w:basedOn w:val="DefaultParagraphFont"/>
    <w:uiPriority w:val="20"/>
    <w:qFormat/>
    <w:rsid w:val="003F48A6"/>
    <w:rPr>
      <w:i/>
      <w:iCs/>
    </w:rPr>
  </w:style>
  <w:style w:type="paragraph" w:customStyle="1" w:styleId="RecommendationText">
    <w:name w:val="Recommendation Text"/>
    <w:basedOn w:val="Normal"/>
    <w:rsid w:val="00481A71"/>
    <w:pPr>
      <w:spacing w:after="240" w:line="240" w:lineRule="auto"/>
      <w:ind w:left="567"/>
    </w:pPr>
    <w:rPr>
      <w:rFonts w:ascii="Arial" w:hAnsi="Arial"/>
      <w:i/>
      <w:iCs/>
      <w:lang w:val="en-US"/>
    </w:rPr>
  </w:style>
  <w:style w:type="table" w:customStyle="1" w:styleId="LightList-Accent12">
    <w:name w:val="Light List - Accent 12"/>
    <w:basedOn w:val="TableNormal"/>
    <w:rsid w:val="00481A7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jc w:val="left"/>
      </w:pPr>
      <w:rPr>
        <w:b/>
        <w:bCs/>
        <w:color w:val="FFFFFF" w:themeColor="background1"/>
      </w:rPr>
      <w:tblPr/>
      <w:tcPr>
        <w:shd w:val="clear" w:color="auto" w:fill="1C3867" w:themeFill="text2"/>
      </w:tcPr>
    </w:tblStylePr>
    <w:tblStylePr w:type="lastRow">
      <w:pPr>
        <w:spacing w:before="0" w:after="0" w:line="240" w:lineRule="auto"/>
      </w:pPr>
      <w:rPr>
        <w:b/>
        <w:bCs/>
      </w:rPr>
      <w:tblPr/>
      <w:tcPr>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BodyTextIndent">
    <w:name w:val="Body Text Indent"/>
    <w:basedOn w:val="Normal"/>
    <w:link w:val="BodyTextIndentChar"/>
    <w:rsid w:val="00481A71"/>
    <w:pPr>
      <w:spacing w:after="120" w:line="240" w:lineRule="auto"/>
      <w:ind w:left="283"/>
    </w:pPr>
    <w:rPr>
      <w:rFonts w:ascii="Arial" w:eastAsia="Times New Roman" w:hAnsi="Arial" w:cs="Times New Roman"/>
      <w:szCs w:val="20"/>
    </w:rPr>
  </w:style>
  <w:style w:type="character" w:customStyle="1" w:styleId="BodyTextIndentChar">
    <w:name w:val="Body Text Indent Char"/>
    <w:basedOn w:val="DefaultParagraphFont"/>
    <w:link w:val="BodyTextIndent"/>
    <w:rsid w:val="00481A71"/>
    <w:rPr>
      <w:rFonts w:ascii="Arial" w:eastAsia="Times New Roman" w:hAnsi="Arial" w:cs="Times New Roman"/>
      <w:szCs w:val="20"/>
    </w:rPr>
  </w:style>
  <w:style w:type="table" w:styleId="TableGrid">
    <w:name w:val="Table Grid"/>
    <w:basedOn w:val="TableNormal"/>
    <w:uiPriority w:val="59"/>
    <w:rsid w:val="00481A71"/>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5672D8"/>
    <w:pPr>
      <w:spacing w:before="0" w:after="80" w:line="240" w:lineRule="auto"/>
    </w:pPr>
    <w:rPr>
      <w:rFonts w:ascii="Calibri Light" w:eastAsia="Times New Roman" w:hAnsi="Calibri Light" w:cs="Times New Roman"/>
      <w:iCs/>
      <w:color w:val="85754E" w:themeColor="background2"/>
      <w:spacing w:val="10"/>
      <w:sz w:val="52"/>
      <w:szCs w:val="48"/>
      <w:lang w:bidi="en-US"/>
    </w:rPr>
  </w:style>
  <w:style w:type="character" w:customStyle="1" w:styleId="TitleChar">
    <w:name w:val="Title Char"/>
    <w:basedOn w:val="DefaultParagraphFont"/>
    <w:link w:val="Title"/>
    <w:uiPriority w:val="10"/>
    <w:rsid w:val="005672D8"/>
    <w:rPr>
      <w:rFonts w:ascii="Calibri Light" w:eastAsia="Times New Roman" w:hAnsi="Calibri Light" w:cs="Times New Roman"/>
      <w:iCs/>
      <w:color w:val="85754E" w:themeColor="background2"/>
      <w:spacing w:val="10"/>
      <w:sz w:val="52"/>
      <w:szCs w:val="48"/>
      <w:lang w:bidi="en-US"/>
    </w:rPr>
  </w:style>
  <w:style w:type="paragraph" w:customStyle="1" w:styleId="Default">
    <w:name w:val="Default"/>
    <w:rsid w:val="00481A71"/>
    <w:pPr>
      <w:autoSpaceDE w:val="0"/>
      <w:autoSpaceDN w:val="0"/>
      <w:adjustRightInd w:val="0"/>
      <w:spacing w:after="0" w:line="240" w:lineRule="auto"/>
    </w:pPr>
    <w:rPr>
      <w:rFonts w:ascii="Trajan" w:eastAsia="Calibri" w:hAnsi="Trajan" w:cs="Trajan"/>
      <w:color w:val="000000"/>
      <w:sz w:val="24"/>
      <w:szCs w:val="24"/>
    </w:rPr>
  </w:style>
  <w:style w:type="paragraph" w:styleId="BalloonText">
    <w:name w:val="Balloon Text"/>
    <w:basedOn w:val="Normal"/>
    <w:link w:val="BalloonTextChar"/>
    <w:uiPriority w:val="99"/>
    <w:semiHidden/>
    <w:unhideWhenUsed/>
    <w:rsid w:val="00481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A71"/>
    <w:rPr>
      <w:rFonts w:ascii="Tahoma" w:hAnsi="Tahoma" w:cs="Tahoma"/>
      <w:sz w:val="16"/>
      <w:szCs w:val="16"/>
    </w:rPr>
  </w:style>
  <w:style w:type="character" w:styleId="CommentReference">
    <w:name w:val="annotation reference"/>
    <w:basedOn w:val="DefaultParagraphFont"/>
    <w:uiPriority w:val="99"/>
    <w:semiHidden/>
    <w:unhideWhenUsed/>
    <w:rsid w:val="00481A71"/>
    <w:rPr>
      <w:sz w:val="16"/>
      <w:szCs w:val="16"/>
    </w:rPr>
  </w:style>
  <w:style w:type="paragraph" w:styleId="CommentText">
    <w:name w:val="annotation text"/>
    <w:basedOn w:val="Normal"/>
    <w:link w:val="CommentTextChar"/>
    <w:uiPriority w:val="99"/>
    <w:semiHidden/>
    <w:unhideWhenUsed/>
    <w:rsid w:val="00481A71"/>
    <w:pPr>
      <w:spacing w:line="240" w:lineRule="auto"/>
    </w:pPr>
    <w:rPr>
      <w:sz w:val="20"/>
      <w:szCs w:val="20"/>
    </w:rPr>
  </w:style>
  <w:style w:type="character" w:customStyle="1" w:styleId="CommentTextChar">
    <w:name w:val="Comment Text Char"/>
    <w:basedOn w:val="DefaultParagraphFont"/>
    <w:link w:val="CommentText"/>
    <w:uiPriority w:val="99"/>
    <w:semiHidden/>
    <w:rsid w:val="00481A71"/>
    <w:rPr>
      <w:sz w:val="20"/>
      <w:szCs w:val="20"/>
    </w:rPr>
  </w:style>
  <w:style w:type="paragraph" w:styleId="CommentSubject">
    <w:name w:val="annotation subject"/>
    <w:basedOn w:val="CommentText"/>
    <w:next w:val="CommentText"/>
    <w:link w:val="CommentSubjectChar"/>
    <w:uiPriority w:val="99"/>
    <w:semiHidden/>
    <w:unhideWhenUsed/>
    <w:rsid w:val="00481A71"/>
    <w:rPr>
      <w:b/>
      <w:bCs/>
    </w:rPr>
  </w:style>
  <w:style w:type="character" w:customStyle="1" w:styleId="CommentSubjectChar">
    <w:name w:val="Comment Subject Char"/>
    <w:basedOn w:val="CommentTextChar"/>
    <w:link w:val="CommentSubject"/>
    <w:uiPriority w:val="99"/>
    <w:semiHidden/>
    <w:rsid w:val="00481A71"/>
    <w:rPr>
      <w:b/>
      <w:bCs/>
      <w:sz w:val="20"/>
      <w:szCs w:val="20"/>
    </w:rPr>
  </w:style>
  <w:style w:type="character" w:styleId="PlaceholderText">
    <w:name w:val="Placeholder Text"/>
    <w:basedOn w:val="DefaultParagraphFont"/>
    <w:uiPriority w:val="99"/>
    <w:rsid w:val="00481A71"/>
    <w:rPr>
      <w:color w:val="808080"/>
    </w:rPr>
  </w:style>
  <w:style w:type="table" w:customStyle="1" w:styleId="LightList-Accent13">
    <w:name w:val="Light List - Accent 13"/>
    <w:basedOn w:val="TableNormal"/>
    <w:uiPriority w:val="61"/>
    <w:rsid w:val="009A1740"/>
    <w:pPr>
      <w:spacing w:after="0" w:line="240" w:lineRule="auto"/>
    </w:pPr>
    <w:tblPr>
      <w:tblStyleRowBandSize w:val="1"/>
      <w:tblStyleColBandSize w:val="1"/>
      <w:tblBorders>
        <w:top w:val="single" w:sz="8" w:space="0" w:color="1C3867" w:themeColor="accent1"/>
        <w:left w:val="single" w:sz="8" w:space="0" w:color="1C3867" w:themeColor="accent1"/>
        <w:bottom w:val="single" w:sz="8" w:space="0" w:color="1C3867" w:themeColor="accent1"/>
        <w:right w:val="single" w:sz="8" w:space="0" w:color="1C3867" w:themeColor="accent1"/>
      </w:tblBorders>
    </w:tblPr>
    <w:tblStylePr w:type="firstRow">
      <w:pPr>
        <w:spacing w:before="0" w:after="0" w:line="240" w:lineRule="auto"/>
      </w:pPr>
      <w:rPr>
        <w:b/>
        <w:bCs/>
        <w:color w:val="FFFFFF" w:themeColor="background1"/>
      </w:rPr>
      <w:tblPr/>
      <w:tcPr>
        <w:shd w:val="clear" w:color="auto" w:fill="1C3867" w:themeFill="accent1"/>
      </w:tcPr>
    </w:tblStylePr>
    <w:tblStylePr w:type="lastRow">
      <w:pPr>
        <w:spacing w:before="0" w:after="0" w:line="240" w:lineRule="auto"/>
      </w:pPr>
      <w:rPr>
        <w:b/>
        <w:bCs/>
      </w:rPr>
      <w:tblPr/>
      <w:tcPr>
        <w:tcBorders>
          <w:top w:val="double" w:sz="6" w:space="0" w:color="1C3867" w:themeColor="accent1"/>
          <w:left w:val="single" w:sz="8" w:space="0" w:color="1C3867" w:themeColor="accent1"/>
          <w:bottom w:val="single" w:sz="8" w:space="0" w:color="1C3867" w:themeColor="accent1"/>
          <w:right w:val="single" w:sz="8" w:space="0" w:color="1C3867" w:themeColor="accent1"/>
        </w:tcBorders>
      </w:tcPr>
    </w:tblStylePr>
    <w:tblStylePr w:type="firstCol">
      <w:rPr>
        <w:b/>
        <w:bCs/>
      </w:rPr>
    </w:tblStylePr>
    <w:tblStylePr w:type="lastCol">
      <w:rPr>
        <w:b/>
        <w:bCs/>
      </w:rPr>
    </w:tblStylePr>
    <w:tblStylePr w:type="band1Vert">
      <w:tblPr/>
      <w:tcPr>
        <w:tcBorders>
          <w:top w:val="single" w:sz="8" w:space="0" w:color="1C3867" w:themeColor="accent1"/>
          <w:left w:val="single" w:sz="8" w:space="0" w:color="1C3867" w:themeColor="accent1"/>
          <w:bottom w:val="single" w:sz="8" w:space="0" w:color="1C3867" w:themeColor="accent1"/>
          <w:right w:val="single" w:sz="8" w:space="0" w:color="1C3867" w:themeColor="accent1"/>
        </w:tcBorders>
      </w:tcPr>
    </w:tblStylePr>
    <w:tblStylePr w:type="band1Horz">
      <w:tblPr/>
      <w:tcPr>
        <w:tcBorders>
          <w:top w:val="single" w:sz="8" w:space="0" w:color="1C3867" w:themeColor="accent1"/>
          <w:left w:val="single" w:sz="8" w:space="0" w:color="1C3867" w:themeColor="accent1"/>
          <w:bottom w:val="single" w:sz="8" w:space="0" w:color="1C3867" w:themeColor="accent1"/>
          <w:right w:val="single" w:sz="8" w:space="0" w:color="1C3867" w:themeColor="accent1"/>
        </w:tcBorders>
      </w:tcPr>
    </w:tblStylePr>
  </w:style>
  <w:style w:type="table" w:customStyle="1" w:styleId="LightList-Accent111">
    <w:name w:val="Light List - Accent 111"/>
    <w:basedOn w:val="TableNormal"/>
    <w:rsid w:val="00A933B9"/>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NoSpacing">
    <w:name w:val="No Spacing"/>
    <w:basedOn w:val="Normal"/>
    <w:link w:val="NoSpacingChar"/>
    <w:uiPriority w:val="1"/>
    <w:qFormat/>
    <w:rsid w:val="00A933B9"/>
    <w:pPr>
      <w:spacing w:after="0" w:line="240" w:lineRule="auto"/>
    </w:pPr>
    <w:rPr>
      <w:iCs/>
      <w:szCs w:val="20"/>
      <w:lang w:eastAsia="en-US"/>
    </w:rPr>
  </w:style>
  <w:style w:type="character" w:customStyle="1" w:styleId="NoSpacingChar">
    <w:name w:val="No Spacing Char"/>
    <w:basedOn w:val="DefaultParagraphFont"/>
    <w:link w:val="NoSpacing"/>
    <w:uiPriority w:val="1"/>
    <w:rsid w:val="00A933B9"/>
    <w:rPr>
      <w:iCs/>
      <w:szCs w:val="20"/>
      <w:lang w:eastAsia="en-US"/>
    </w:rPr>
  </w:style>
  <w:style w:type="table" w:customStyle="1" w:styleId="LightList-Accent121">
    <w:name w:val="Light List - Accent 121"/>
    <w:basedOn w:val="TableNormal"/>
    <w:rsid w:val="00CF779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Pr>
    <w:tblStylePr w:type="firstRow">
      <w:pPr>
        <w:spacing w:before="0" w:after="0" w:line="240" w:lineRule="auto"/>
        <w:jc w:val="left"/>
      </w:pPr>
      <w:rPr>
        <w:b/>
        <w:bCs/>
        <w:color w:val="FFFFFF"/>
      </w:rPr>
      <w:tblPr/>
      <w:tcPr>
        <w:shd w:val="clear" w:color="auto" w:fill="1F497D"/>
      </w:tcPr>
    </w:tblStylePr>
    <w:tblStylePr w:type="lastRow">
      <w:pPr>
        <w:spacing w:before="0" w:after="0" w:line="240" w:lineRule="auto"/>
      </w:pPr>
      <w:rPr>
        <w:b/>
        <w:bCs/>
      </w:rPr>
      <w:tblPr/>
      <w:tcPr>
        <w:shd w:val="clear" w:color="auto" w:fill="C6D9F1"/>
      </w:tcPr>
    </w:tblStylePr>
    <w:tblStylePr w:type="fir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la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style>
  <w:style w:type="table" w:customStyle="1" w:styleId="LightList-Accent112">
    <w:name w:val="Light List - Accent 112"/>
    <w:basedOn w:val="TableNormal"/>
    <w:rsid w:val="005970B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ListNumber">
    <w:name w:val="List Number"/>
    <w:basedOn w:val="Normal"/>
    <w:uiPriority w:val="99"/>
    <w:unhideWhenUsed/>
    <w:qFormat/>
    <w:rsid w:val="003F48A6"/>
    <w:pPr>
      <w:numPr>
        <w:numId w:val="4"/>
      </w:numPr>
      <w:contextualSpacing/>
    </w:pPr>
  </w:style>
  <w:style w:type="paragraph" w:customStyle="1" w:styleId="Spacer-1px">
    <w:name w:val="Spacer - 1px"/>
    <w:basedOn w:val="Normal"/>
    <w:rsid w:val="000F52AB"/>
    <w:pPr>
      <w:spacing w:before="0" w:after="0" w:line="240" w:lineRule="auto"/>
    </w:pPr>
    <w:rPr>
      <w:noProof/>
      <w:sz w:val="2"/>
      <w:szCs w:val="2"/>
    </w:rPr>
  </w:style>
  <w:style w:type="paragraph" w:styleId="Subtitle">
    <w:name w:val="Subtitle"/>
    <w:basedOn w:val="Normal"/>
    <w:next w:val="Normal"/>
    <w:link w:val="SubtitleChar"/>
    <w:uiPriority w:val="11"/>
    <w:qFormat/>
    <w:rsid w:val="00F07E81"/>
    <w:pPr>
      <w:spacing w:before="60" w:after="0" w:line="216" w:lineRule="auto"/>
    </w:pPr>
    <w:rPr>
      <w:sz w:val="23"/>
    </w:rPr>
  </w:style>
  <w:style w:type="character" w:customStyle="1" w:styleId="SubtitleChar">
    <w:name w:val="Subtitle Char"/>
    <w:basedOn w:val="DefaultParagraphFont"/>
    <w:link w:val="Subtitle"/>
    <w:uiPriority w:val="11"/>
    <w:rsid w:val="00F07E81"/>
    <w:rPr>
      <w:sz w:val="23"/>
    </w:rPr>
  </w:style>
  <w:style w:type="paragraph" w:customStyle="1" w:styleId="Spacer-cover">
    <w:name w:val="Spacer - cover"/>
    <w:basedOn w:val="Normal"/>
    <w:rsid w:val="005672D8"/>
    <w:pPr>
      <w:spacing w:after="9960"/>
    </w:pPr>
  </w:style>
  <w:style w:type="paragraph" w:customStyle="1" w:styleId="Coverservicesboxtext">
    <w:name w:val="Cover services box text"/>
    <w:basedOn w:val="Normal"/>
    <w:rsid w:val="00546F37"/>
    <w:pPr>
      <w:spacing w:before="0" w:after="0"/>
      <w:jc w:val="center"/>
    </w:pPr>
    <w:rPr>
      <w:b/>
      <w:caps/>
      <w:color w:val="FFFFFF" w:themeColor="background1"/>
      <w:sz w:val="27"/>
      <w:szCs w:val="27"/>
    </w:rPr>
  </w:style>
  <w:style w:type="paragraph" w:customStyle="1" w:styleId="Covercontactdetails">
    <w:name w:val="Cover contact details"/>
    <w:basedOn w:val="Normal"/>
    <w:rsid w:val="00050628"/>
    <w:pPr>
      <w:spacing w:before="0" w:after="0" w:line="240" w:lineRule="auto"/>
      <w:ind w:left="-142" w:right="-228"/>
      <w:jc w:val="center"/>
    </w:pPr>
    <w:rPr>
      <w:rFonts w:ascii="Calibri Light" w:hAnsi="Calibri Light"/>
      <w:sz w:val="21"/>
      <w:szCs w:val="21"/>
    </w:rPr>
  </w:style>
  <w:style w:type="paragraph" w:customStyle="1" w:styleId="Covercontactheading">
    <w:name w:val="Cover contact heading"/>
    <w:basedOn w:val="Covercontactdetails"/>
    <w:rsid w:val="00050628"/>
    <w:rPr>
      <w:sz w:val="23"/>
      <w:szCs w:val="23"/>
    </w:rPr>
  </w:style>
  <w:style w:type="character" w:customStyle="1" w:styleId="BoldBlue">
    <w:name w:val="Bold + Blue"/>
    <w:basedOn w:val="DefaultParagraphFont"/>
    <w:uiPriority w:val="1"/>
    <w:qFormat/>
    <w:rsid w:val="00050628"/>
    <w:rPr>
      <w:b/>
      <w:color w:val="1C3867" w:themeColor="text2"/>
    </w:rPr>
  </w:style>
  <w:style w:type="character" w:customStyle="1" w:styleId="Blue">
    <w:name w:val="Blue"/>
    <w:basedOn w:val="DefaultParagraphFont"/>
    <w:uiPriority w:val="1"/>
    <w:qFormat/>
    <w:rsid w:val="00D9079F"/>
    <w:rPr>
      <w:color w:val="1C3867" w:themeColor="text2"/>
    </w:rPr>
  </w:style>
  <w:style w:type="paragraph" w:customStyle="1" w:styleId="Coverheader">
    <w:name w:val="Cover header"/>
    <w:basedOn w:val="Header"/>
    <w:rsid w:val="00076007"/>
    <w:pPr>
      <w:ind w:right="0"/>
    </w:pPr>
    <w:rPr>
      <w:noProof/>
    </w:rPr>
  </w:style>
  <w:style w:type="character" w:styleId="PageNumber">
    <w:name w:val="page number"/>
    <w:uiPriority w:val="99"/>
    <w:unhideWhenUsed/>
    <w:rsid w:val="00B27AAF"/>
    <w:rPr>
      <w:color w:val="1C3867" w:themeColor="text2"/>
    </w:rPr>
  </w:style>
  <w:style w:type="paragraph" w:customStyle="1" w:styleId="CoverpageTitle">
    <w:name w:val="Coverpage Title"/>
    <w:basedOn w:val="Normal"/>
    <w:rsid w:val="003F65C3"/>
    <w:pPr>
      <w:spacing w:after="240"/>
    </w:pPr>
    <w:rPr>
      <w:rFonts w:ascii="Calibri Light" w:hAnsi="Calibri Light"/>
      <w:sz w:val="64"/>
      <w:szCs w:val="64"/>
    </w:rPr>
  </w:style>
  <w:style w:type="paragraph" w:customStyle="1" w:styleId="CoverpageSubtitle">
    <w:name w:val="Coverpage Subtitle"/>
    <w:basedOn w:val="Normal"/>
    <w:rsid w:val="00D467FF"/>
    <w:pPr>
      <w:spacing w:before="0" w:after="120" w:line="240" w:lineRule="auto"/>
      <w:ind w:right="346"/>
    </w:pPr>
    <w:rPr>
      <w:rFonts w:ascii="Calibri Light" w:eastAsia="Times New Roman" w:hAnsi="Calibri Light" w:cs="Times New Roman"/>
      <w:noProof/>
      <w:sz w:val="26"/>
      <w:szCs w:val="26"/>
      <w:lang w:val="en-US"/>
    </w:rPr>
  </w:style>
  <w:style w:type="paragraph" w:customStyle="1" w:styleId="CoverpageContactDetails">
    <w:name w:val="Coverpage Contact Details"/>
    <w:basedOn w:val="Normal"/>
    <w:rsid w:val="00D467FF"/>
    <w:pPr>
      <w:tabs>
        <w:tab w:val="left" w:pos="882"/>
      </w:tabs>
      <w:spacing w:before="0" w:after="120" w:line="240" w:lineRule="auto"/>
    </w:pPr>
    <w:rPr>
      <w:rFonts w:ascii="Calibri" w:eastAsia="Times New Roman" w:hAnsi="Calibri" w:cs="Times New Roman"/>
      <w:szCs w:val="20"/>
      <w:lang w:val="en-US"/>
    </w:rPr>
  </w:style>
  <w:style w:type="paragraph" w:styleId="TOCHeading">
    <w:name w:val="TOC Heading"/>
    <w:basedOn w:val="Normal"/>
    <w:next w:val="Normal"/>
    <w:uiPriority w:val="39"/>
    <w:unhideWhenUsed/>
    <w:rsid w:val="00546F37"/>
    <w:pPr>
      <w:spacing w:before="0" w:after="240" w:line="500" w:lineRule="exact"/>
    </w:pPr>
    <w:rPr>
      <w:b/>
      <w:caps/>
      <w:color w:val="1C3867" w:themeColor="text2"/>
      <w:sz w:val="48"/>
      <w:szCs w:val="48"/>
    </w:rPr>
  </w:style>
  <w:style w:type="paragraph" w:styleId="TOC1">
    <w:name w:val="toc 1"/>
    <w:basedOn w:val="DividerPageTitle"/>
    <w:next w:val="Normal"/>
    <w:autoRedefine/>
    <w:uiPriority w:val="39"/>
    <w:unhideWhenUsed/>
    <w:rsid w:val="00CB141D"/>
    <w:pPr>
      <w:pBdr>
        <w:between w:val="single" w:sz="4" w:space="1" w:color="85754E" w:themeColor="background2"/>
      </w:pBdr>
      <w:tabs>
        <w:tab w:val="right" w:pos="9072"/>
      </w:tabs>
      <w:spacing w:before="120" w:after="60"/>
      <w:ind w:left="0" w:right="1655" w:firstLine="0"/>
    </w:pPr>
    <w:rPr>
      <w:b w:val="0"/>
      <w:noProof/>
      <w:color w:val="85754E" w:themeColor="accent2"/>
      <w:sz w:val="26"/>
    </w:rPr>
  </w:style>
  <w:style w:type="character" w:styleId="Hyperlink">
    <w:name w:val="Hyperlink"/>
    <w:basedOn w:val="DefaultParagraphFont"/>
    <w:uiPriority w:val="99"/>
    <w:unhideWhenUsed/>
    <w:rsid w:val="00546F37"/>
    <w:rPr>
      <w:color w:val="414042" w:themeColor="hyperlink"/>
      <w:u w:val="single"/>
    </w:rPr>
  </w:style>
  <w:style w:type="table" w:styleId="ListTable3-Accent1">
    <w:name w:val="List Table 3 Accent 1"/>
    <w:basedOn w:val="TableNormal"/>
    <w:uiPriority w:val="48"/>
    <w:rsid w:val="00B94863"/>
    <w:pPr>
      <w:spacing w:after="0" w:line="240" w:lineRule="auto"/>
    </w:pPr>
    <w:tblPr>
      <w:tblStyleRowBandSize w:val="1"/>
      <w:tblStyleColBandSize w:val="1"/>
      <w:tblBorders>
        <w:top w:val="single" w:sz="4" w:space="0" w:color="1C3867" w:themeColor="accent1"/>
        <w:left w:val="single" w:sz="4" w:space="0" w:color="1C3867" w:themeColor="accent1"/>
        <w:bottom w:val="single" w:sz="4" w:space="0" w:color="1C3867" w:themeColor="accent1"/>
        <w:right w:val="single" w:sz="4" w:space="0" w:color="1C3867" w:themeColor="accent1"/>
      </w:tblBorders>
    </w:tblPr>
    <w:tblStylePr w:type="firstRow">
      <w:rPr>
        <w:b/>
        <w:bCs/>
        <w:color w:val="FFFFFF" w:themeColor="background1"/>
      </w:rPr>
      <w:tblPr/>
      <w:tcPr>
        <w:shd w:val="clear" w:color="auto" w:fill="1C3867" w:themeFill="accent1"/>
      </w:tcPr>
    </w:tblStylePr>
    <w:tblStylePr w:type="lastRow">
      <w:rPr>
        <w:b/>
        <w:bCs/>
      </w:rPr>
      <w:tblPr/>
      <w:tcPr>
        <w:tcBorders>
          <w:top w:val="double" w:sz="4" w:space="0" w:color="1C386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3867" w:themeColor="accent1"/>
          <w:right w:val="single" w:sz="4" w:space="0" w:color="1C3867" w:themeColor="accent1"/>
        </w:tcBorders>
      </w:tcPr>
    </w:tblStylePr>
    <w:tblStylePr w:type="band1Horz">
      <w:tblPr/>
      <w:tcPr>
        <w:tcBorders>
          <w:top w:val="single" w:sz="4" w:space="0" w:color="1C3867" w:themeColor="accent1"/>
          <w:bottom w:val="single" w:sz="4" w:space="0" w:color="1C386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3867" w:themeColor="accent1"/>
          <w:left w:val="nil"/>
        </w:tcBorders>
      </w:tcPr>
    </w:tblStylePr>
    <w:tblStylePr w:type="swCell">
      <w:tblPr/>
      <w:tcPr>
        <w:tcBorders>
          <w:top w:val="double" w:sz="4" w:space="0" w:color="1C3867" w:themeColor="accent1"/>
          <w:right w:val="nil"/>
        </w:tcBorders>
      </w:tcPr>
    </w:tblStylePr>
  </w:style>
  <w:style w:type="table" w:customStyle="1" w:styleId="HNWTable01">
    <w:name w:val="HNW Table 01"/>
    <w:basedOn w:val="TableNormal"/>
    <w:uiPriority w:val="99"/>
    <w:rsid w:val="00EC6793"/>
    <w:pPr>
      <w:spacing w:before="40" w:after="40"/>
    </w:pPr>
    <w:tblPr>
      <w:tblBorders>
        <w:bottom w:val="single" w:sz="4" w:space="0" w:color="85754E" w:themeColor="background2"/>
        <w:insideH w:val="single" w:sz="4" w:space="0" w:color="85754E" w:themeColor="background2"/>
      </w:tblBorders>
    </w:tblPr>
    <w:tblStylePr w:type="firstRow">
      <w:rPr>
        <w:b/>
        <w:color w:val="FFFFFF" w:themeColor="background1"/>
      </w:rPr>
      <w:tblPr>
        <w:tblCellMar>
          <w:top w:w="0" w:type="dxa"/>
          <w:left w:w="85" w:type="dxa"/>
          <w:bottom w:w="0" w:type="dxa"/>
          <w:right w:w="85" w:type="dxa"/>
        </w:tblCellMar>
      </w:tblPr>
      <w:tcPr>
        <w:tcBorders>
          <w:top w:val="nil"/>
          <w:left w:val="nil"/>
          <w:bottom w:val="nil"/>
          <w:right w:val="nil"/>
          <w:insideH w:val="nil"/>
          <w:insideV w:val="single" w:sz="4" w:space="0" w:color="FFFFFF" w:themeColor="background1"/>
          <w:tl2br w:val="nil"/>
          <w:tr2bl w:val="nil"/>
        </w:tcBorders>
        <w:shd w:val="clear" w:color="auto" w:fill="1C3867" w:themeFill="text2"/>
      </w:tcPr>
    </w:tblStylePr>
    <w:tblStylePr w:type="lastRow">
      <w:rPr>
        <w:b/>
      </w:rPr>
      <w:tblPr/>
      <w:tcPr>
        <w:tcBorders>
          <w:bottom w:val="single" w:sz="4" w:space="0" w:color="85754E" w:themeColor="background2"/>
        </w:tcBorders>
        <w:shd w:val="clear" w:color="auto" w:fill="F3F1ED" w:themeFill="accent6"/>
      </w:tcPr>
    </w:tblStylePr>
    <w:tblStylePr w:type="firstCol">
      <w:rPr>
        <w:b/>
        <w:color w:val="FFFFFF" w:themeColor="background1"/>
      </w:rPr>
      <w:tblPr/>
      <w:tcPr>
        <w:tcBorders>
          <w:bottom w:val="nil"/>
          <w:insideH w:val="dotted" w:sz="4" w:space="0" w:color="FFFFFF" w:themeColor="background1"/>
        </w:tcBorders>
        <w:shd w:val="clear" w:color="auto" w:fill="1C3867" w:themeFill="text2"/>
      </w:tcPr>
    </w:tblStylePr>
  </w:style>
  <w:style w:type="paragraph" w:customStyle="1" w:styleId="DividerPageTitle">
    <w:name w:val="Divider Page Title"/>
    <w:basedOn w:val="Title"/>
    <w:qFormat/>
    <w:rsid w:val="00AE7144"/>
    <w:pPr>
      <w:ind w:left="4536" w:right="-472" w:hanging="4962"/>
    </w:pPr>
    <w:rPr>
      <w:rFonts w:asciiTheme="majorHAnsi" w:hAnsiTheme="majorHAnsi"/>
      <w:b/>
    </w:rPr>
  </w:style>
  <w:style w:type="paragraph" w:styleId="ListNumber2">
    <w:name w:val="List Number 2"/>
    <w:basedOn w:val="Normal"/>
    <w:uiPriority w:val="99"/>
    <w:unhideWhenUsed/>
    <w:qFormat/>
    <w:rsid w:val="000B4975"/>
    <w:pPr>
      <w:numPr>
        <w:numId w:val="5"/>
      </w:numPr>
      <w:ind w:left="714" w:hanging="357"/>
      <w:contextualSpacing/>
    </w:pPr>
  </w:style>
  <w:style w:type="paragraph" w:styleId="ListBullet2">
    <w:name w:val="List Bullet 2"/>
    <w:basedOn w:val="Normal"/>
    <w:uiPriority w:val="99"/>
    <w:unhideWhenUsed/>
    <w:qFormat/>
    <w:rsid w:val="000B4975"/>
    <w:pPr>
      <w:numPr>
        <w:numId w:val="3"/>
      </w:numPr>
      <w:ind w:left="714" w:hanging="357"/>
      <w:contextualSpacing/>
    </w:pPr>
  </w:style>
  <w:style w:type="paragraph" w:customStyle="1" w:styleId="DividerPageNumber">
    <w:name w:val="Divider Page Number"/>
    <w:basedOn w:val="DividerPageTitle"/>
    <w:qFormat/>
    <w:rsid w:val="003C5147"/>
    <w:pPr>
      <w:spacing w:before="240" w:after="0"/>
    </w:pPr>
    <w:rPr>
      <w:rFonts w:ascii="Calibri Light" w:hAnsi="Calibri Light"/>
      <w:b w:val="0"/>
      <w:color w:val="C2B8A4" w:themeColor="accent6" w:themeShade="BF"/>
      <w:sz w:val="100"/>
      <w:szCs w:val="100"/>
    </w:rPr>
  </w:style>
  <w:style w:type="paragraph" w:styleId="TOC2">
    <w:name w:val="toc 2"/>
    <w:basedOn w:val="Normal"/>
    <w:next w:val="Normal"/>
    <w:autoRedefine/>
    <w:uiPriority w:val="39"/>
    <w:unhideWhenUsed/>
    <w:rsid w:val="00CB141D"/>
    <w:pPr>
      <w:tabs>
        <w:tab w:val="right" w:pos="7371"/>
      </w:tabs>
      <w:ind w:left="220" w:right="1655"/>
    </w:pPr>
  </w:style>
  <w:style w:type="table" w:customStyle="1" w:styleId="LightList-Accent113">
    <w:name w:val="Light List - Accent 113"/>
    <w:basedOn w:val="TableNormal"/>
    <w:rsid w:val="00EA5C5F"/>
    <w:pPr>
      <w:spacing w:before="0" w:after="0" w:line="240" w:lineRule="auto"/>
    </w:pPr>
    <w:rPr>
      <w:rFonts w:ascii="Calibri" w:eastAsia="Times New Roman" w:hAnsi="Calibri" w:cs="Times New Roman"/>
      <w:color w:val="auto"/>
      <w:sz w:val="20"/>
      <w:szCs w:val="20"/>
      <w:lang w:val="en-US"/>
    </w:rPr>
    <w:tblPr>
      <w:tblStyleRowBandSize w:val="1"/>
      <w:tblStyleColBandSize w:val="1"/>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Pr>
    <w:tblStylePr w:type="firstRow">
      <w:pPr>
        <w:spacing w:before="0" w:after="0" w:line="240" w:lineRule="auto"/>
      </w:pPr>
      <w:rPr>
        <w:b/>
        <w:bCs/>
        <w:color w:val="FFFFFF"/>
      </w:rPr>
      <w:tblPr/>
      <w:tcPr>
        <w:shd w:val="clear" w:color="auto" w:fill="1F497D"/>
      </w:tcPr>
    </w:tblStylePr>
    <w:tblStylePr w:type="lastRow">
      <w:pPr>
        <w:spacing w:before="0" w:after="0" w:line="240" w:lineRule="auto"/>
      </w:pPr>
      <w:rPr>
        <w:b/>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shd w:val="clear" w:color="auto" w:fill="C6D9F1"/>
      </w:tcPr>
    </w:tblStylePr>
    <w:tblStylePr w:type="fir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la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style>
  <w:style w:type="character" w:styleId="SubtleEmphasis">
    <w:name w:val="Subtle Emphasis"/>
    <w:uiPriority w:val="19"/>
    <w:qFormat/>
    <w:rsid w:val="00EA5C5F"/>
    <w:rPr>
      <w:i/>
      <w:iCs/>
      <w:color w:val="0E1B33" w:themeColor="accent1" w:themeShade="7F"/>
    </w:rPr>
  </w:style>
  <w:style w:type="paragraph" w:customStyle="1" w:styleId="gmail-msolistparagraph">
    <w:name w:val="gmail-msolistparagraph"/>
    <w:basedOn w:val="Normal"/>
    <w:rsid w:val="00205A1C"/>
    <w:pPr>
      <w:spacing w:beforeAutospacing="1" w:afterAutospacing="1" w:line="240" w:lineRule="auto"/>
    </w:pPr>
    <w:rPr>
      <w:rFonts w:ascii="Calibri" w:eastAsiaTheme="minorHAns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060596">
      <w:bodyDiv w:val="1"/>
      <w:marLeft w:val="0"/>
      <w:marRight w:val="0"/>
      <w:marTop w:val="0"/>
      <w:marBottom w:val="0"/>
      <w:divBdr>
        <w:top w:val="none" w:sz="0" w:space="0" w:color="auto"/>
        <w:left w:val="none" w:sz="0" w:space="0" w:color="auto"/>
        <w:bottom w:val="none" w:sz="0" w:space="0" w:color="auto"/>
        <w:right w:val="none" w:sz="0" w:space="0" w:color="auto"/>
      </w:divBdr>
    </w:div>
    <w:div w:id="805590100">
      <w:bodyDiv w:val="1"/>
      <w:marLeft w:val="0"/>
      <w:marRight w:val="0"/>
      <w:marTop w:val="0"/>
      <w:marBottom w:val="0"/>
      <w:divBdr>
        <w:top w:val="none" w:sz="0" w:space="0" w:color="auto"/>
        <w:left w:val="none" w:sz="0" w:space="0" w:color="auto"/>
        <w:bottom w:val="none" w:sz="0" w:space="0" w:color="auto"/>
        <w:right w:val="none" w:sz="0" w:space="0" w:color="auto"/>
      </w:divBdr>
    </w:div>
    <w:div w:id="1083917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customXml" Target="../customXml/item3.xml"/><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HNW Planning">
      <a:dk1>
        <a:srgbClr val="414042"/>
      </a:dk1>
      <a:lt1>
        <a:sysClr val="window" lastClr="FFFFFF"/>
      </a:lt1>
      <a:dk2>
        <a:srgbClr val="1C3867"/>
      </a:dk2>
      <a:lt2>
        <a:srgbClr val="85754E"/>
      </a:lt2>
      <a:accent1>
        <a:srgbClr val="1C3867"/>
      </a:accent1>
      <a:accent2>
        <a:srgbClr val="85754E"/>
      </a:accent2>
      <a:accent3>
        <a:srgbClr val="BFBFBF"/>
      </a:accent3>
      <a:accent4>
        <a:srgbClr val="D8E3F4"/>
      </a:accent4>
      <a:accent5>
        <a:srgbClr val="8FAEE1"/>
      </a:accent5>
      <a:accent6>
        <a:srgbClr val="F3F1ED"/>
      </a:accent6>
      <a:hlink>
        <a:srgbClr val="414042"/>
      </a:hlink>
      <a:folHlink>
        <a:srgbClr val="414042"/>
      </a:folHlink>
    </a:clrScheme>
    <a:fontScheme name="HNW Plannin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B7E12DB769164D9B28CF2966ED06A5" ma:contentTypeVersion="18" ma:contentTypeDescription="Create a new document." ma:contentTypeScope="" ma:versionID="b1cf0de051bf7debcc6ef2709dcc322f">
  <xsd:schema xmlns:xsd="http://www.w3.org/2001/XMLSchema" xmlns:xs="http://www.w3.org/2001/XMLSchema" xmlns:p="http://schemas.microsoft.com/office/2006/metadata/properties" xmlns:ns2="05ed5d80-5be2-462c-bec3-14caa38b63ef" xmlns:ns3="d34886c6-c96d-4e06-9b0f-8bf2e5627e94" targetNamespace="http://schemas.microsoft.com/office/2006/metadata/properties" ma:root="true" ma:fieldsID="e5604587374308a70ae58d20261ba291" ns2:_="" ns3:_="">
    <xsd:import namespace="05ed5d80-5be2-462c-bec3-14caa38b63ef"/>
    <xsd:import namespace="d34886c6-c96d-4e06-9b0f-8bf2e5627e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d5d80-5be2-462c-bec3-14caa38b6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80ed09-d592-4bd7-b427-6fdad931ee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4886c6-c96d-4e06-9b0f-8bf2e5627e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e7be3a-e7a5-4894-b300-2d15a6cac6d7}" ma:internalName="TaxCatchAll" ma:showField="CatchAllData" ma:web="d34886c6-c96d-4e06-9b0f-8bf2e5627e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5ed5d80-5be2-462c-bec3-14caa38b63ef">
      <Terms xmlns="http://schemas.microsoft.com/office/infopath/2007/PartnerControls"/>
    </lcf76f155ced4ddcb4097134ff3c332f>
    <TaxCatchAll xmlns="d34886c6-c96d-4e06-9b0f-8bf2e5627e94" xsi:nil="true"/>
  </documentManagement>
</p:properties>
</file>

<file path=customXml/itemProps1.xml><?xml version="1.0" encoding="utf-8"?>
<ds:datastoreItem xmlns:ds="http://schemas.openxmlformats.org/officeDocument/2006/customXml" ds:itemID="{AC1015A8-CD1F-494F-AD69-791D596A9360}">
  <ds:schemaRefs>
    <ds:schemaRef ds:uri="http://schemas.openxmlformats.org/officeDocument/2006/bibliography"/>
  </ds:schemaRefs>
</ds:datastoreItem>
</file>

<file path=customXml/itemProps2.xml><?xml version="1.0" encoding="utf-8"?>
<ds:datastoreItem xmlns:ds="http://schemas.openxmlformats.org/officeDocument/2006/customXml" ds:itemID="{3EE030D5-FAEA-4F57-9A26-BE595C83DBC3}"/>
</file>

<file path=customXml/itemProps3.xml><?xml version="1.0" encoding="utf-8"?>
<ds:datastoreItem xmlns:ds="http://schemas.openxmlformats.org/officeDocument/2006/customXml" ds:itemID="{B0003C7A-2CBD-4ED0-BC4B-1E3A4709ABE7}"/>
</file>

<file path=customXml/itemProps4.xml><?xml version="1.0" encoding="utf-8"?>
<ds:datastoreItem xmlns:ds="http://schemas.openxmlformats.org/officeDocument/2006/customXml" ds:itemID="{99FB3A81-37E6-4F41-B004-B86175C2FF1D}"/>
</file>

<file path=docProps/app.xml><?xml version="1.0" encoding="utf-8"?>
<Properties xmlns="http://schemas.openxmlformats.org/officeDocument/2006/extended-properties" xmlns:vt="http://schemas.openxmlformats.org/officeDocument/2006/docPropsVTypes">
  <Template>Normal</Template>
  <TotalTime>4</TotalTime>
  <Pages>14</Pages>
  <Words>3351</Words>
  <Characters>19101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dc:creator>
  <cp:keywords/>
  <dc:description/>
  <cp:lastModifiedBy>Tracy Brown</cp:lastModifiedBy>
  <cp:revision>3</cp:revision>
  <cp:lastPrinted>2019-09-12T06:02:00Z</cp:lastPrinted>
  <dcterms:created xsi:type="dcterms:W3CDTF">2024-06-14T04:27:00Z</dcterms:created>
  <dcterms:modified xsi:type="dcterms:W3CDTF">2024-06-14T04:27:00Z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0x0101002CB7E12DB769164D9B28CF2966ED06A5</vt:lpwstr>
  </property>
</Properties>
</file>